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pacing w:val="14"/>
          <w:sz w:val="32"/>
          <w:szCs w:val="32"/>
        </w:rPr>
      </w:pPr>
      <w:r>
        <w:rPr>
          <w:rFonts w:hint="eastAsia" w:ascii="宋体" w:hAnsi="宋体" w:eastAsia="宋体" w:cs="宋体"/>
          <w:b/>
          <w:bCs/>
          <w:spacing w:val="15"/>
          <w:sz w:val="32"/>
          <w:szCs w:val="32"/>
        </w:rPr>
        <w:t>2024</w:t>
      </w:r>
      <w:r>
        <w:rPr>
          <w:rFonts w:hint="eastAsia" w:ascii="宋体" w:hAnsi="宋体" w:eastAsia="宋体" w:cs="宋体"/>
          <w:b/>
          <w:bCs/>
          <w:spacing w:val="15"/>
          <w:sz w:val="32"/>
          <w:szCs w:val="32"/>
        </w:rPr>
        <w:t>年安徽省普通高中学</w:t>
      </w:r>
      <w:r>
        <w:rPr>
          <w:rFonts w:hint="eastAsia" w:ascii="宋体" w:hAnsi="宋体" w:eastAsia="宋体" w:cs="宋体"/>
          <w:b/>
          <w:bCs/>
          <w:spacing w:val="14"/>
          <w:sz w:val="32"/>
          <w:szCs w:val="32"/>
        </w:rPr>
        <w:t>业水平选择性考试</w:t>
      </w:r>
    </w:p>
    <w:p>
      <w:pPr>
        <w:jc w:val="center"/>
        <w:rPr>
          <w:rFonts w:hint="eastAsia" w:ascii="宋体" w:hAnsi="宋体" w:eastAsia="宋体" w:cs="宋体"/>
          <w:b/>
          <w:bCs/>
          <w:spacing w:val="14"/>
          <w:sz w:val="32"/>
          <w:szCs w:val="32"/>
          <w:lang w:val="en-US" w:eastAsia="zh-CN"/>
        </w:rPr>
      </w:pPr>
      <w:r>
        <w:rPr>
          <w:rFonts w:hint="eastAsia" w:ascii="宋体" w:hAnsi="宋体" w:eastAsia="宋体" w:cs="宋体"/>
          <w:b/>
          <w:bCs/>
          <w:spacing w:val="14"/>
          <w:sz w:val="32"/>
          <w:szCs w:val="32"/>
          <w:lang w:val="en-US" w:eastAsia="zh-CN"/>
        </w:rPr>
        <w:t>生物</w:t>
      </w:r>
    </w:p>
    <w:p>
      <w:pPr>
        <w:rPr>
          <w:rFonts w:hint="eastAsia" w:ascii="宋体" w:hAnsi="宋体" w:eastAsia="宋体" w:cs="宋体"/>
          <w:spacing w:val="14"/>
          <w:sz w:val="27"/>
          <w:szCs w:val="27"/>
          <w:lang w:val="en-US" w:eastAsia="zh-CN"/>
        </w:rPr>
      </w:pPr>
    </w:p>
    <w:p>
      <w:pPr>
        <w:rPr>
          <w:rFonts w:hint="eastAsia" w:ascii="宋体" w:hAnsi="宋体" w:eastAsia="宋体" w:cs="宋体"/>
          <w:spacing w:val="6"/>
          <w:position w:val="1"/>
        </w:rPr>
      </w:pPr>
      <w:r>
        <w:rPr>
          <w:rFonts w:hint="eastAsia" w:ascii="宋体" w:hAnsi="宋体" w:eastAsia="宋体" w:cs="宋体"/>
          <w:spacing w:val="1"/>
        </w:rPr>
        <w:t>一、选择题</w:t>
      </w:r>
      <w:r>
        <w:rPr>
          <w:rFonts w:hint="eastAsia" w:ascii="宋体" w:hAnsi="宋体" w:eastAsia="宋体" w:cs="宋体"/>
          <w:spacing w:val="1"/>
          <w:lang w:eastAsia="zh-CN"/>
        </w:rPr>
        <w:t>：</w:t>
      </w:r>
      <w:r>
        <w:rPr>
          <w:rFonts w:hint="eastAsia" w:ascii="宋体" w:hAnsi="宋体" w:eastAsia="宋体" w:cs="宋体"/>
          <w:spacing w:val="1"/>
        </w:rPr>
        <w:t>本题共</w:t>
      </w:r>
      <w:r>
        <w:rPr>
          <w:rFonts w:hint="eastAsia" w:ascii="宋体" w:hAnsi="宋体" w:eastAsia="宋体" w:cs="宋体"/>
          <w:spacing w:val="1"/>
        </w:rPr>
        <w:t>15</w:t>
      </w:r>
      <w:r>
        <w:rPr>
          <w:rFonts w:hint="eastAsia" w:ascii="宋体" w:hAnsi="宋体" w:eastAsia="宋体" w:cs="宋体"/>
          <w:spacing w:val="1"/>
        </w:rPr>
        <w:t>小题</w:t>
      </w:r>
      <w:r>
        <w:rPr>
          <w:rFonts w:hint="eastAsia" w:ascii="宋体" w:hAnsi="宋体" w:eastAsia="宋体" w:cs="宋体"/>
          <w:spacing w:val="1"/>
          <w:lang w:eastAsia="zh-CN"/>
        </w:rPr>
        <w:t>，</w:t>
      </w:r>
      <w:r>
        <w:rPr>
          <w:rFonts w:hint="eastAsia" w:ascii="宋体" w:hAnsi="宋体" w:eastAsia="宋体" w:cs="宋体"/>
          <w:spacing w:val="1"/>
        </w:rPr>
        <w:t>每小题</w:t>
      </w:r>
      <w:r>
        <w:rPr>
          <w:rFonts w:hint="eastAsia" w:ascii="宋体" w:hAnsi="宋体" w:eastAsia="宋体" w:cs="宋体"/>
          <w:spacing w:val="1"/>
        </w:rPr>
        <w:t>3</w:t>
      </w:r>
      <w:r>
        <w:rPr>
          <w:rFonts w:hint="eastAsia" w:ascii="宋体" w:hAnsi="宋体" w:eastAsia="宋体" w:cs="宋体"/>
          <w:spacing w:val="1"/>
        </w:rPr>
        <w:t>分</w:t>
      </w:r>
      <w:r>
        <w:rPr>
          <w:rFonts w:hint="eastAsia" w:ascii="宋体" w:hAnsi="宋体" w:eastAsia="宋体" w:cs="宋体"/>
          <w:spacing w:val="1"/>
          <w:lang w:eastAsia="zh-CN"/>
        </w:rPr>
        <w:t>，</w:t>
      </w:r>
      <w:r>
        <w:rPr>
          <w:rFonts w:hint="eastAsia" w:ascii="宋体" w:hAnsi="宋体" w:eastAsia="宋体" w:cs="宋体"/>
          <w:spacing w:val="1"/>
        </w:rPr>
        <w:t>共</w:t>
      </w:r>
      <w:r>
        <w:rPr>
          <w:rFonts w:hint="eastAsia" w:ascii="宋体" w:hAnsi="宋体" w:eastAsia="宋体" w:cs="宋体"/>
          <w:spacing w:val="1"/>
        </w:rPr>
        <w:t>45</w:t>
      </w:r>
      <w:r>
        <w:rPr>
          <w:rFonts w:hint="eastAsia" w:ascii="宋体" w:hAnsi="宋体" w:eastAsia="宋体" w:cs="宋体"/>
          <w:spacing w:val="1"/>
        </w:rPr>
        <w:t>分。</w:t>
      </w:r>
      <w:r>
        <w:rPr>
          <w:rFonts w:hint="eastAsia" w:ascii="宋体" w:hAnsi="宋体" w:eastAsia="宋体" w:cs="宋体"/>
          <w:spacing w:val="18"/>
        </w:rPr>
        <w:t>在每小题给出的四个选项中</w:t>
      </w:r>
      <w:r>
        <w:rPr>
          <w:rFonts w:hint="eastAsia" w:ascii="宋体" w:hAnsi="宋体" w:eastAsia="宋体" w:cs="宋体"/>
          <w:spacing w:val="18"/>
          <w:position w:val="1"/>
          <w:lang w:eastAsia="zh-CN"/>
        </w:rPr>
        <w:t>，</w:t>
      </w:r>
      <w:r>
        <w:rPr>
          <w:rFonts w:hint="eastAsia" w:ascii="宋体" w:hAnsi="宋体" w:eastAsia="宋体" w:cs="宋体"/>
          <w:spacing w:val="18"/>
        </w:rPr>
        <w:t>只有一项是符合题</w:t>
      </w:r>
      <w:r>
        <w:rPr>
          <w:rFonts w:hint="eastAsia" w:ascii="宋体" w:hAnsi="宋体" w:eastAsia="宋体" w:cs="宋体"/>
          <w:spacing w:val="6"/>
        </w:rPr>
        <w:t>目要求的</w:t>
      </w:r>
      <w:r>
        <w:rPr>
          <w:rFonts w:hint="eastAsia" w:ascii="宋体" w:hAnsi="宋体" w:eastAsia="宋体" w:cs="宋体"/>
          <w:spacing w:val="6"/>
          <w:position w:val="1"/>
        </w:rPr>
        <w:t>。</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1.真核细胞的质膜、细胞器膜和核膜等共同构成生物膜系统。下列叙述正确的是</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A.液泡膜上的一种载体蛋白只能主动转运一种分子或离子</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B.水分子主要通过质膜上的水通道蛋白进出肾小管上皮细胞</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C.根尖分生区细胞的核膜在分裂间期解体，在分裂末期重建</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D.[H]与氧结合生成水并形成ATP的过程发生在线粒体基质和内膜上</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2.变形虫可通过细胞表面形成临时性细胞突起进行移动和摄食。科研人员用特定荧光物质处理变形虫，发现移动部分的细胞质中聚集有被标记的纤维网架结构，并伴有纤维的消长。下列叙述正确的是</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A.被荧光标记的网架结构属于细胞骨架，与变形虫的形态变化有关</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B.溶酶体中的水解酶进入细胞质基质，将摄入的食物分解为小分子</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C.变形虫通过胞吞方式摄取食物，该过程不需要质膜上的蛋白质参与</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D.变形虫移动过程中，纤维的消长是由于其构成蛋白的不断组装</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3.细胞呼吸第一阶段包含一系列酶促反应，磷酸果糖激酶1(PFK1)是其中的一个关键酶。细胞中ATP减少时，ADP和AMP会增多。当ATP/AMP浓度比变化时，两者会与PFK1发生竞争性结合而改变酶活性，进而调节细胞呼吸速率，以保证细胞中能量的供求平衡。下列叙述正确的是</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A.在细胞质基质中，PFK1催化葡萄糖直接分解为丙酮酸等</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B.PFK1与ATP结合后，酶的空间结构发生改变而变性失活</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C.ATP/AMP浓度比变化对PFK1活性的调节属于正反馈调节</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D.运动时肌细胞中AMP与PFK1结合增多，细胞呼吸速率加快</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4.在多细胞生物体的发育过程中，细胞的分化及其方向是由细胞内外信号分子共同决定的，某信号分子诱导细胞分化的部分应答通路如图。下列叙述正确的是</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drawing>
          <wp:inline distT="0" distB="0" distL="114300" distR="114300">
            <wp:extent cx="3770630" cy="1572260"/>
            <wp:effectExtent l="0" t="0" r="1270" b="8890"/>
            <wp:docPr id="31" name="图片 31" descr="171925572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19255723841"/>
                    <pic:cNvPicPr>
                      <a:picLocks noChangeAspect="1"/>
                    </pic:cNvPicPr>
                  </pic:nvPicPr>
                  <pic:blipFill>
                    <a:blip r:embed="rId4"/>
                    <a:stretch>
                      <a:fillRect/>
                    </a:stretch>
                  </pic:blipFill>
                  <pic:spPr>
                    <a:xfrm>
                      <a:off x="0" y="0"/>
                      <a:ext cx="3770630" cy="1572260"/>
                    </a:xfrm>
                    <a:prstGeom prst="rect">
                      <a:avLst/>
                    </a:prstGeom>
                  </pic:spPr>
                </pic:pic>
              </a:graphicData>
            </a:graphic>
          </wp:inline>
        </w:drawing>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A.细胞对该信号分子的特异应答，依赖于细胞内的相应受体</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B.酶联受体是质膜上的蛋白质，具有识别、运输和催化作用</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C.ATP水解释放的磷酸分子与靶蛋白结合，使其磷酸化而有活性</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D.活化的应答蛋白通过影响基因的表达，最终引起细胞定向分化</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5.物种的生态位研究对生物多样性保护具有重要意义。研究人员对我国某自然保护区白马鸡与血雉在三种植被类型中的分布和日活动节律进行了调查，结果见下表。下列叙述错误的是</w:t>
      </w:r>
    </w:p>
    <w:p>
      <w:pPr>
        <w:jc w:val="cente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drawing>
          <wp:inline distT="0" distB="0" distL="114300" distR="114300">
            <wp:extent cx="3081655" cy="2607945"/>
            <wp:effectExtent l="0" t="0" r="4445" b="1905"/>
            <wp:docPr id="15" name="图片 15" descr="171925396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19253966071"/>
                    <pic:cNvPicPr>
                      <a:picLocks noChangeAspect="1"/>
                    </pic:cNvPicPr>
                  </pic:nvPicPr>
                  <pic:blipFill>
                    <a:blip r:embed="rId5"/>
                    <a:stretch>
                      <a:fillRect/>
                    </a:stretch>
                  </pic:blipFill>
                  <pic:spPr>
                    <a:xfrm>
                      <a:off x="0" y="0"/>
                      <a:ext cx="3081655" cy="2607945"/>
                    </a:xfrm>
                    <a:prstGeom prst="rect">
                      <a:avLst/>
                    </a:prstGeom>
                  </pic:spPr>
                </pic:pic>
              </a:graphicData>
            </a:graphic>
          </wp:inline>
        </w:drawing>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A.生境的复杂程度会明显影响白马鸡和血雉对栖息地的选择</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B.两物种在三种植被类型中的分布差异体现了群落的垂直结构</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C.季节交替影响两物种对植被类型的选择，降雨对血雉的影响更大</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D.两物种在白天均出现活动高峰，但在日活动节律上存在生态位分化</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6.磷循环是生物圈物质循环的重要组成部分。磷经岩石风化、溶解、生物吸收利用、微生物分解，进入环境后少量返回生物群落，大部分沉积并进一步形成岩石。岩石风化后，磷再次参与循环。下列叙述错误的是</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A.在生物地球化学循环中，磷元素年周转量比碳元素少</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B.人类施用磷肥等农业生产活动不会改变磷循环速率</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C.磷参与生态系统中能量的输入、传递、转化和散失过程</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D.磷主要以磷酸盐的形式在生物群落与无机环境之间循环</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7.人在睡梦中偶尔会出现心跳明显加快、呼吸急促，甚至惊叫。如果此时检测这些人的血液，会发现肾上腺素含量明显升高。下列叙述错误的是</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A.睡梦中出现呼吸急促和惊叫等生理活动不受大脑皮层控制</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B.睡梦中惊叫等应激行为与肾上腺髓质分泌的肾上腺素有关</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C.睡梦中心跳加快与交感神经活动增强、副交感神经活动减弱有关</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D.交感神经兴奋促进肾上腺素释放进而引起心跳加快，属于神经-体液调节</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8.羊口疮是由羊口疮病毒(ORFV)感染引起的急性接触性人畜共患传染病，宿主易被ORFV反复感染，影响畜牧业发展，危害人体健康。下列叙述正确的是</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A.ORFV感染宿主引起的特异性免疫反应属于细胞免疫</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B.ORFV感染宿主后被APC和T细胞摄取、处理和呈递</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C.ORFV反复感染可能与感染后宿主产生的抗体少有关</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D.辅助性T细胞在ORFV和细胞因子的刺激下增殖分化</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9.植物生命活动受植物激素、环境因素等多种因素的调节。下列叙述正确的是</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A.菊花是自然条件下秋季开花的植物，遮光处理可使其延迟开花</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B.玉米倒伏后，茎背地生长与重力引起近地侧生长素含量较低有关</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C.组织培养中，细胞分裂素与生长素浓度比值高时能诱导根的分化</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D.土壤干旱时，豌豆根部合成的脱落酸向地上运输可引起气孔关闭</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10.甲是具有许多优良性状的纯合品种水稻，但不抗稻瘟病(rr)，乙品种水稻抗稻瘟病(RR)。育种工作者欲将甲培育成抗稻瘟病并保留自身优良性状的纯合新品种，设计了下列育种方案，合理的是</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①将甲与乙杂交，再自交多代，每代均选取抗稻瘟病植株</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②将甲与乙杂交，F</w:t>
      </w:r>
      <w:r>
        <w:rPr>
          <w:rFonts w:hint="eastAsia" w:ascii="宋体" w:hAnsi="宋体" w:eastAsia="宋体" w:cs="宋体"/>
          <w:spacing w:val="6"/>
          <w:position w:val="1"/>
          <w:vertAlign w:val="subscript"/>
          <w:lang w:val="en-US" w:eastAsia="zh-CN"/>
        </w:rPr>
        <w:t>1</w:t>
      </w:r>
      <w:r>
        <w:rPr>
          <w:rFonts w:hint="eastAsia" w:ascii="宋体" w:hAnsi="宋体" w:eastAsia="宋体" w:cs="宋体"/>
          <w:spacing w:val="6"/>
          <w:position w:val="1"/>
          <w:lang w:val="en-US" w:eastAsia="zh-CN"/>
        </w:rPr>
        <w:t>与甲回交，选F</w:t>
      </w:r>
      <w:r>
        <w:rPr>
          <w:rFonts w:hint="eastAsia" w:ascii="宋体" w:hAnsi="宋体" w:eastAsia="宋体" w:cs="宋体"/>
          <w:spacing w:val="6"/>
          <w:position w:val="1"/>
          <w:vertAlign w:val="subscript"/>
          <w:lang w:val="en-US" w:eastAsia="zh-CN"/>
        </w:rPr>
        <w:t>2</w:t>
      </w:r>
      <w:r>
        <w:rPr>
          <w:rFonts w:hint="eastAsia" w:ascii="宋体" w:hAnsi="宋体" w:eastAsia="宋体" w:cs="宋体"/>
          <w:spacing w:val="6"/>
          <w:position w:val="1"/>
          <w:lang w:val="en-US" w:eastAsia="zh-CN"/>
        </w:rPr>
        <w:t>中的抗稻瘟病植株与甲再次回交，依次重复多代；再将选取的抗稻瘟病植株自交多代，每代均选取抗稻瘟病植株</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③将甲与乙杂交，取F</w:t>
      </w:r>
      <w:r>
        <w:rPr>
          <w:rFonts w:hint="eastAsia" w:ascii="宋体" w:hAnsi="宋体" w:eastAsia="宋体" w:cs="宋体"/>
          <w:spacing w:val="6"/>
          <w:position w:val="1"/>
          <w:vertAlign w:val="subscript"/>
          <w:lang w:val="en-US" w:eastAsia="zh-CN"/>
        </w:rPr>
        <w:t>1</w:t>
      </w:r>
      <w:r>
        <w:rPr>
          <w:rFonts w:hint="eastAsia" w:ascii="宋体" w:hAnsi="宋体" w:eastAsia="宋体" w:cs="宋体"/>
          <w:spacing w:val="6"/>
          <w:position w:val="1"/>
          <w:lang w:val="en-US" w:eastAsia="zh-CN"/>
        </w:rPr>
        <w:t>的花药离体培养获得单倍体，再诱导染色体数目加倍为二倍体，从中选取抗稻瘟病植株</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④向甲转入抗稻瘟病基因，筛选转入成功的抗稻瘟病植株自交多代，每代均选取抗稻瘟病植株</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A.①②    B.①③    C.②④    D.③④</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11.真核生物细胞中主要有3类RNA聚合酶，它们在细胞内定位和转录产物见下表。此外，在线粒体和叶绿体中也发现了分子量小的RNA聚合酶。下列叙述错误的是</w:t>
      </w:r>
    </w:p>
    <w:tbl>
      <w:tblPr>
        <w:tblStyle w:val="4"/>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753"/>
        <w:gridCol w:w="2055"/>
        <w:gridCol w:w="35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9" w:hRule="atLeast"/>
        </w:trPr>
        <w:tc>
          <w:tcPr>
            <w:tcW w:w="1654" w:type="pct"/>
            <w:tcBorders>
              <w:top w:val="single" w:color="000000" w:sz="6" w:space="0"/>
              <w:left w:val="single" w:color="000000" w:sz="6" w:space="0"/>
            </w:tcBorders>
            <w:vAlign w:val="center"/>
          </w:tcPr>
          <w:p>
            <w:pPr>
              <w:spacing w:before="111" w:line="184" w:lineRule="auto"/>
              <w:ind w:left="628"/>
              <w:jc w:val="center"/>
              <w:rPr>
                <w:rFonts w:hint="eastAsia" w:ascii="宋体" w:hAnsi="宋体" w:eastAsia="宋体" w:cs="宋体"/>
                <w:sz w:val="20"/>
                <w:szCs w:val="20"/>
              </w:rPr>
            </w:pPr>
            <w:r>
              <w:rPr>
                <w:rFonts w:hint="eastAsia" w:ascii="宋体" w:hAnsi="宋体" w:eastAsia="宋体" w:cs="宋体"/>
                <w:spacing w:val="5"/>
                <w:sz w:val="20"/>
                <w:szCs w:val="20"/>
              </w:rPr>
              <w:t>种类</w:t>
            </w:r>
          </w:p>
        </w:tc>
        <w:tc>
          <w:tcPr>
            <w:tcW w:w="1235" w:type="pct"/>
            <w:tcBorders>
              <w:top w:val="single" w:color="000000" w:sz="6" w:space="0"/>
            </w:tcBorders>
            <w:vAlign w:val="center"/>
          </w:tcPr>
          <w:p>
            <w:pPr>
              <w:spacing w:before="111" w:line="184" w:lineRule="auto"/>
              <w:ind w:left="112"/>
              <w:jc w:val="center"/>
              <w:rPr>
                <w:rFonts w:hint="eastAsia" w:ascii="宋体" w:hAnsi="宋体" w:eastAsia="宋体" w:cs="宋体"/>
                <w:sz w:val="20"/>
                <w:szCs w:val="20"/>
              </w:rPr>
            </w:pPr>
            <w:r>
              <w:rPr>
                <w:rFonts w:hint="eastAsia" w:ascii="宋体" w:hAnsi="宋体" w:eastAsia="宋体" w:cs="宋体"/>
                <w:spacing w:val="6"/>
                <w:sz w:val="20"/>
                <w:szCs w:val="20"/>
              </w:rPr>
              <w:t>细胞内定位</w:t>
            </w:r>
          </w:p>
        </w:tc>
        <w:tc>
          <w:tcPr>
            <w:tcW w:w="2110" w:type="pct"/>
            <w:tcBorders>
              <w:top w:val="single" w:color="000000" w:sz="6" w:space="0"/>
              <w:right w:val="single" w:color="000000" w:sz="6" w:space="0"/>
            </w:tcBorders>
            <w:vAlign w:val="center"/>
          </w:tcPr>
          <w:p>
            <w:pPr>
              <w:spacing w:before="110" w:line="185" w:lineRule="auto"/>
              <w:ind w:left="655"/>
              <w:jc w:val="center"/>
              <w:rPr>
                <w:rFonts w:hint="eastAsia" w:ascii="宋体" w:hAnsi="宋体" w:eastAsia="宋体" w:cs="宋体"/>
                <w:sz w:val="20"/>
                <w:szCs w:val="20"/>
              </w:rPr>
            </w:pPr>
            <w:r>
              <w:rPr>
                <w:rFonts w:hint="eastAsia" w:ascii="宋体" w:hAnsi="宋体" w:eastAsia="宋体" w:cs="宋体"/>
                <w:spacing w:val="7"/>
                <w:sz w:val="20"/>
                <w:szCs w:val="20"/>
              </w:rPr>
              <w:t>转录产物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654" w:type="pct"/>
            <w:tcBorders>
              <w:left w:val="single" w:color="000000" w:sz="6" w:space="0"/>
            </w:tcBorders>
            <w:vAlign w:val="center"/>
          </w:tcPr>
          <w:p>
            <w:pPr>
              <w:pStyle w:val="5"/>
              <w:spacing w:before="325" w:line="197" w:lineRule="auto"/>
              <w:jc w:val="center"/>
              <w:rPr>
                <w:rFonts w:hint="eastAsia" w:ascii="宋体" w:hAnsi="宋体" w:eastAsia="宋体" w:cs="宋体"/>
              </w:rPr>
            </w:pPr>
            <w:r>
              <w:rPr>
                <w:rFonts w:hint="eastAsia" w:ascii="宋体" w:hAnsi="宋体" w:eastAsia="宋体" w:cs="宋体"/>
              </w:rPr>
              <w:t>RNA</w:t>
            </w:r>
            <w:r>
              <w:rPr>
                <w:rFonts w:hint="eastAsia" w:ascii="宋体" w:hAnsi="宋体" w:eastAsia="宋体" w:cs="宋体"/>
                <w:spacing w:val="15"/>
              </w:rPr>
              <w:t>聚合酶I</w:t>
            </w:r>
          </w:p>
        </w:tc>
        <w:tc>
          <w:tcPr>
            <w:tcW w:w="1235" w:type="pct"/>
            <w:vAlign w:val="center"/>
          </w:tcPr>
          <w:p>
            <w:pPr>
              <w:spacing w:before="326" w:line="184" w:lineRule="auto"/>
              <w:jc w:val="center"/>
              <w:rPr>
                <w:rFonts w:hint="eastAsia" w:ascii="宋体" w:hAnsi="宋体" w:eastAsia="宋体" w:cs="宋体"/>
                <w:sz w:val="20"/>
                <w:szCs w:val="20"/>
              </w:rPr>
            </w:pPr>
            <w:r>
              <w:rPr>
                <w:rFonts w:hint="eastAsia" w:ascii="宋体" w:hAnsi="宋体" w:eastAsia="宋体" w:cs="宋体"/>
                <w:spacing w:val="4"/>
                <w:sz w:val="20"/>
                <w:szCs w:val="20"/>
              </w:rPr>
              <w:t>核仁</w:t>
            </w:r>
          </w:p>
        </w:tc>
        <w:tc>
          <w:tcPr>
            <w:tcW w:w="2110" w:type="pct"/>
            <w:tcBorders>
              <w:right w:val="single" w:color="000000" w:sz="6" w:space="0"/>
            </w:tcBorders>
            <w:vAlign w:val="center"/>
          </w:tcPr>
          <w:p>
            <w:pPr>
              <w:pStyle w:val="5"/>
              <w:spacing w:before="204" w:line="227" w:lineRule="auto"/>
              <w:jc w:val="center"/>
              <w:rPr>
                <w:rFonts w:hint="eastAsia" w:ascii="宋体" w:hAnsi="宋体" w:eastAsia="宋体" w:cs="宋体"/>
              </w:rPr>
            </w:pPr>
            <w:r>
              <w:rPr>
                <w:rFonts w:hint="eastAsia" w:ascii="宋体" w:hAnsi="宋体" w:eastAsia="宋体" w:cs="宋体"/>
                <w:spacing w:val="-18"/>
              </w:rPr>
              <w:t>5.8SrRNA、18SrRNA、</w:t>
            </w:r>
            <w:r>
              <w:rPr>
                <w:rFonts w:hint="eastAsia" w:ascii="宋体" w:hAnsi="宋体" w:eastAsia="宋体" w:cs="宋体"/>
                <w:spacing w:val="-1"/>
              </w:rPr>
              <w:t>28SrRNA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654" w:type="pct"/>
            <w:tcBorders>
              <w:left w:val="single" w:color="000000" w:sz="6" w:space="0"/>
            </w:tcBorders>
            <w:vAlign w:val="center"/>
          </w:tcPr>
          <w:p>
            <w:pPr>
              <w:pStyle w:val="5"/>
              <w:spacing w:before="123" w:line="184" w:lineRule="auto"/>
              <w:ind w:left="189"/>
              <w:jc w:val="center"/>
              <w:rPr>
                <w:rFonts w:hint="eastAsia" w:ascii="宋体" w:hAnsi="宋体" w:eastAsia="宋体" w:cs="宋体"/>
              </w:rPr>
            </w:pPr>
            <w:r>
              <w:rPr>
                <w:rFonts w:hint="eastAsia" w:ascii="宋体" w:hAnsi="宋体" w:eastAsia="宋体" w:cs="宋体"/>
              </w:rPr>
              <w:t>RNA</w:t>
            </w:r>
            <w:r>
              <w:rPr>
                <w:rFonts w:hint="eastAsia" w:ascii="宋体" w:hAnsi="宋体" w:eastAsia="宋体" w:cs="宋体"/>
                <w:spacing w:val="17"/>
              </w:rPr>
              <w:t>聚合酶Ⅱ</w:t>
            </w:r>
          </w:p>
        </w:tc>
        <w:tc>
          <w:tcPr>
            <w:tcW w:w="1235" w:type="pct"/>
            <w:vAlign w:val="center"/>
          </w:tcPr>
          <w:p>
            <w:pPr>
              <w:spacing w:before="123" w:line="184" w:lineRule="auto"/>
              <w:ind w:left="422"/>
              <w:jc w:val="center"/>
              <w:rPr>
                <w:rFonts w:hint="eastAsia" w:ascii="宋体" w:hAnsi="宋体" w:eastAsia="宋体" w:cs="宋体"/>
                <w:sz w:val="20"/>
                <w:szCs w:val="20"/>
              </w:rPr>
            </w:pPr>
            <w:r>
              <w:rPr>
                <w:rFonts w:hint="eastAsia" w:ascii="宋体" w:hAnsi="宋体" w:eastAsia="宋体" w:cs="宋体"/>
                <w:spacing w:val="4"/>
                <w:sz w:val="20"/>
                <w:szCs w:val="20"/>
              </w:rPr>
              <w:t>核质</w:t>
            </w:r>
          </w:p>
        </w:tc>
        <w:tc>
          <w:tcPr>
            <w:tcW w:w="2110" w:type="pct"/>
            <w:tcBorders>
              <w:right w:val="single" w:color="000000" w:sz="6" w:space="0"/>
            </w:tcBorders>
            <w:vAlign w:val="center"/>
          </w:tcPr>
          <w:p>
            <w:pPr>
              <w:pStyle w:val="5"/>
              <w:spacing w:before="142" w:line="232" w:lineRule="exact"/>
              <w:ind w:left="796"/>
              <w:jc w:val="center"/>
              <w:rPr>
                <w:rFonts w:hint="eastAsia" w:ascii="宋体" w:hAnsi="宋体" w:eastAsia="宋体" w:cs="宋体"/>
              </w:rPr>
            </w:pPr>
            <w:r>
              <w:rPr>
                <w:rFonts w:hint="eastAsia" w:ascii="宋体" w:hAnsi="宋体" w:eastAsia="宋体" w:cs="宋体"/>
                <w:spacing w:val="7"/>
              </w:rPr>
              <w:t>mRNA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54" w:type="pct"/>
            <w:tcBorders>
              <w:left w:val="single" w:color="000000" w:sz="6" w:space="0"/>
              <w:bottom w:val="single" w:color="000000" w:sz="6" w:space="0"/>
            </w:tcBorders>
            <w:vAlign w:val="center"/>
          </w:tcPr>
          <w:p>
            <w:pPr>
              <w:pStyle w:val="5"/>
              <w:spacing w:before="126" w:line="184" w:lineRule="auto"/>
              <w:ind w:left="189"/>
              <w:jc w:val="center"/>
              <w:rPr>
                <w:rFonts w:hint="eastAsia" w:ascii="宋体" w:hAnsi="宋体" w:eastAsia="宋体" w:cs="宋体"/>
              </w:rPr>
            </w:pPr>
            <w:r>
              <w:rPr>
                <w:rFonts w:hint="eastAsia" w:ascii="宋体" w:hAnsi="宋体" w:eastAsia="宋体" w:cs="宋体"/>
              </w:rPr>
              <w:t>RNA</w:t>
            </w:r>
            <w:r>
              <w:rPr>
                <w:rFonts w:hint="eastAsia" w:ascii="宋体" w:hAnsi="宋体" w:eastAsia="宋体" w:cs="宋体"/>
                <w:spacing w:val="17"/>
              </w:rPr>
              <w:t>聚合酶Ⅲ</w:t>
            </w:r>
          </w:p>
        </w:tc>
        <w:tc>
          <w:tcPr>
            <w:tcW w:w="1235" w:type="pct"/>
            <w:tcBorders>
              <w:bottom w:val="single" w:color="000000" w:sz="6" w:space="0"/>
            </w:tcBorders>
            <w:vAlign w:val="center"/>
          </w:tcPr>
          <w:p>
            <w:pPr>
              <w:spacing w:before="126" w:line="184" w:lineRule="auto"/>
              <w:ind w:left="422"/>
              <w:jc w:val="center"/>
              <w:rPr>
                <w:rFonts w:hint="eastAsia" w:ascii="宋体" w:hAnsi="宋体" w:eastAsia="宋体" w:cs="宋体"/>
                <w:sz w:val="20"/>
                <w:szCs w:val="20"/>
              </w:rPr>
            </w:pPr>
            <w:r>
              <w:rPr>
                <w:rFonts w:hint="eastAsia" w:ascii="宋体" w:hAnsi="宋体" w:eastAsia="宋体" w:cs="宋体"/>
                <w:spacing w:val="4"/>
                <w:sz w:val="20"/>
                <w:szCs w:val="20"/>
              </w:rPr>
              <w:t>核质</w:t>
            </w:r>
          </w:p>
        </w:tc>
        <w:tc>
          <w:tcPr>
            <w:tcW w:w="2110" w:type="pct"/>
            <w:tcBorders>
              <w:bottom w:val="single" w:color="000000" w:sz="6" w:space="0"/>
              <w:right w:val="single" w:color="000000" w:sz="6" w:space="0"/>
            </w:tcBorders>
            <w:vAlign w:val="center"/>
          </w:tcPr>
          <w:p>
            <w:pPr>
              <w:pStyle w:val="5"/>
              <w:spacing w:before="145" w:line="180" w:lineRule="auto"/>
              <w:ind w:left="406"/>
              <w:jc w:val="center"/>
              <w:rPr>
                <w:rFonts w:hint="eastAsia" w:ascii="宋体" w:hAnsi="宋体" w:eastAsia="宋体" w:cs="宋体"/>
              </w:rPr>
            </w:pPr>
            <w:r>
              <w:rPr>
                <w:rFonts w:hint="eastAsia" w:ascii="宋体" w:hAnsi="宋体" w:eastAsia="宋体" w:cs="宋体"/>
                <w:spacing w:val="-9"/>
              </w:rPr>
              <w:t>tRNA、5SrRNA</w:t>
            </w:r>
          </w:p>
        </w:tc>
      </w:tr>
    </w:tbl>
    <w:p>
      <w:pPr>
        <w:rPr>
          <w:rFonts w:hint="eastAsia" w:ascii="宋体" w:hAnsi="宋体" w:eastAsia="宋体" w:cs="宋体"/>
          <w:spacing w:val="6"/>
          <w:position w:val="1"/>
          <w:lang w:val="en-US" w:eastAsia="zh-CN"/>
        </w:rPr>
      </w:pP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注：各类rRNA均为核糖体的组成成分</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A.线粒体和叶绿体中都有DNA，两者的基因转录时使用各自的RNA聚合酶</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B.基因的DNA发生甲基化修饰，抑制RNA聚合酶的结合，可影响基因表达</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C.RNA聚合酶I和Ⅲ的转录产物都有rRNA，两种酶识别的启动子序列相同</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D.编码RNA聚合酶I的基因在核内转录、细胞质中翻译，产物最终定位在核仁</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12.某种昆虫的颜色由常染色体上的一对等位基因控制，雌虫有黄色和白色两种表型，雄虫只有黄色，控制白色的基因在雄虫中不表达，各类型个体的生存和繁殖力相同。随机选取一只白色雌虫与一只黄色雄虫交配，F</w:t>
      </w:r>
      <w:r>
        <w:rPr>
          <w:rFonts w:hint="eastAsia" w:ascii="宋体" w:hAnsi="宋体" w:eastAsia="宋体" w:cs="宋体"/>
          <w:spacing w:val="6"/>
          <w:position w:val="1"/>
          <w:vertAlign w:val="subscript"/>
          <w:lang w:val="en-US" w:eastAsia="zh-CN"/>
        </w:rPr>
        <w:t>1</w:t>
      </w:r>
      <w:r>
        <w:rPr>
          <w:rFonts w:hint="eastAsia" w:ascii="宋体" w:hAnsi="宋体" w:eastAsia="宋体" w:cs="宋体"/>
          <w:spacing w:val="6"/>
          <w:position w:val="1"/>
          <w:lang w:val="en-US" w:eastAsia="zh-CN"/>
        </w:rPr>
        <w:t>雌性全为白色，雄性全为黄色。继续让F</w:t>
      </w:r>
      <w:r>
        <w:rPr>
          <w:rFonts w:hint="eastAsia" w:ascii="宋体" w:hAnsi="宋体" w:eastAsia="宋体" w:cs="宋体"/>
          <w:spacing w:val="6"/>
          <w:position w:val="1"/>
          <w:vertAlign w:val="subscript"/>
          <w:lang w:val="en-US" w:eastAsia="zh-CN"/>
        </w:rPr>
        <w:t>1</w:t>
      </w:r>
      <w:r>
        <w:rPr>
          <w:rFonts w:hint="eastAsia" w:ascii="宋体" w:hAnsi="宋体" w:eastAsia="宋体" w:cs="宋体"/>
          <w:spacing w:val="6"/>
          <w:position w:val="1"/>
          <w:lang w:val="en-US" w:eastAsia="zh-CN"/>
        </w:rPr>
        <w:t>自由交配，理论上F</w:t>
      </w:r>
      <w:r>
        <w:rPr>
          <w:rFonts w:hint="eastAsia" w:ascii="宋体" w:hAnsi="宋体" w:eastAsia="宋体" w:cs="宋体"/>
          <w:spacing w:val="6"/>
          <w:position w:val="1"/>
          <w:vertAlign w:val="subscript"/>
          <w:lang w:val="en-US" w:eastAsia="zh-CN"/>
        </w:rPr>
        <w:t>2</w:t>
      </w:r>
      <w:r>
        <w:rPr>
          <w:rFonts w:hint="eastAsia" w:ascii="宋体" w:hAnsi="宋体" w:eastAsia="宋体" w:cs="宋体"/>
          <w:spacing w:val="6"/>
          <w:position w:val="1"/>
          <w:lang w:val="en-US" w:eastAsia="zh-CN"/>
        </w:rPr>
        <w:t>雌性中白色个体的比例不可能是</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A.1/2    B.3/4    C.15/16    D.1</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13.下图是甲与其他四种生物β珠蛋白前40个氨基酸的序列比对结果，字母代表氨基酸，“·”表示该位点上的氨基酸与甲的相同，相同位点氨基酸的差异是进化过程中β珠蛋白基因发生突变的结果。下列叙述错误的是</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drawing>
          <wp:inline distT="0" distB="0" distL="114300" distR="114300">
            <wp:extent cx="5057775" cy="997585"/>
            <wp:effectExtent l="0" t="0" r="9525" b="12065"/>
            <wp:docPr id="16" name="图片 16" descr="171925433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19254332623"/>
                    <pic:cNvPicPr>
                      <a:picLocks noChangeAspect="1"/>
                    </pic:cNvPicPr>
                  </pic:nvPicPr>
                  <pic:blipFill>
                    <a:blip r:embed="rId6"/>
                    <a:stretch>
                      <a:fillRect/>
                    </a:stretch>
                  </pic:blipFill>
                  <pic:spPr>
                    <a:xfrm>
                      <a:off x="0" y="0"/>
                      <a:ext cx="5057775" cy="997585"/>
                    </a:xfrm>
                    <a:prstGeom prst="rect">
                      <a:avLst/>
                    </a:prstGeom>
                  </pic:spPr>
                </pic:pic>
              </a:graphicData>
            </a:graphic>
          </wp:inline>
        </w:drawing>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A.不同生物β珠蛋白的基因序列差异可能比氨基酸序列差异更大</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B.位点上未发生改变的氨基酸对维持β珠蛋白功能稳定可能更重要</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C.分子生物学证据与化石等证据结合能更准确判断物种间进化关系</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D.五种生物相互比较，甲与乙的氨基酸序列差异最大，亲缘关系最远</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14.下列关于“DNA粗提取与鉴定”实验的叙述，错误的是</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A.实验中如果将研磨液更换为蒸馏水，DNA提取的效率会降低</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B.利用DNA和蛋白质在酒精中的溶解度差异，可初步分离DNA</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C.DNA在不同浓度NACl溶液中溶解度不同，该原理可用于纯化DNA粗提物</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D.将溶解的DNA粗提物与二苯胺试剂反应，可检测溶液中是否含有蛋白质杂质</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15.植物细胞悬浮培养技术在生产中已得到应用。某兴趣小组尝试利用该技术培养胡萝卜细胞并获取番茄红素，设计了以下实验流程和培养装置(如图)，请同学们进行评议。下列评议不合理的是</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drawing>
          <wp:inline distT="0" distB="0" distL="114300" distR="114300">
            <wp:extent cx="4287520" cy="2207260"/>
            <wp:effectExtent l="0" t="0" r="17780" b="2540"/>
            <wp:docPr id="17" name="图片 17" descr="171925439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19254399270"/>
                    <pic:cNvPicPr>
                      <a:picLocks noChangeAspect="1"/>
                    </pic:cNvPicPr>
                  </pic:nvPicPr>
                  <pic:blipFill>
                    <a:blip r:embed="rId7"/>
                    <a:stretch>
                      <a:fillRect/>
                    </a:stretch>
                  </pic:blipFill>
                  <pic:spPr>
                    <a:xfrm>
                      <a:off x="0" y="0"/>
                      <a:ext cx="4287520" cy="2207260"/>
                    </a:xfrm>
                    <a:prstGeom prst="rect">
                      <a:avLst/>
                    </a:prstGeom>
                  </pic:spPr>
                </pic:pic>
              </a:graphicData>
            </a:graphic>
          </wp:inline>
        </w:drawing>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A.实验流程中应该用果胶酶等处理愈伤组织，制备悬浮细胞</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B.装置中的充气管应置于液面上方，该管可同时作为排气管</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C.装置充气口需要增设无菌滤器，用于防止杂菌污染培养液</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D.细胞培养需要适宜的温度，装置需增设温度监测和控制设备</w:t>
      </w:r>
    </w:p>
    <w:p>
      <w:pPr>
        <w:rPr>
          <w:rFonts w:hint="eastAsia" w:ascii="宋体" w:hAnsi="宋体" w:eastAsia="宋体" w:cs="宋体"/>
          <w:spacing w:val="6"/>
          <w:position w:val="1"/>
          <w:lang w:val="en-US" w:eastAsia="zh-CN"/>
        </w:rPr>
      </w:pPr>
    </w:p>
    <w:p>
      <w:pPr>
        <w:rPr>
          <w:rFonts w:hint="eastAsia" w:ascii="宋体" w:hAnsi="宋体" w:eastAsia="宋体" w:cs="宋体"/>
          <w:spacing w:val="6"/>
          <w:position w:val="1"/>
          <w:lang w:val="en-US" w:eastAsia="zh-CN"/>
        </w:rPr>
      </w:pPr>
      <w:r>
        <w:rPr>
          <w:rFonts w:hint="eastAsia" w:ascii="宋体" w:hAnsi="宋体" w:eastAsia="宋体" w:cs="宋体"/>
          <w:spacing w:val="-3"/>
        </w:rPr>
        <w:t>二、非选择题</w:t>
      </w:r>
      <w:r>
        <w:rPr>
          <w:rFonts w:hint="eastAsia" w:ascii="宋体" w:hAnsi="宋体" w:eastAsia="宋体" w:cs="宋体"/>
          <w:spacing w:val="-3"/>
          <w:lang w:eastAsia="zh-CN"/>
        </w:rPr>
        <w:t>：</w:t>
      </w:r>
      <w:r>
        <w:rPr>
          <w:rFonts w:hint="eastAsia" w:ascii="宋体" w:hAnsi="宋体" w:eastAsia="宋体" w:cs="宋体"/>
          <w:spacing w:val="-3"/>
        </w:rPr>
        <w:t>本题共</w:t>
      </w:r>
      <w:r>
        <w:rPr>
          <w:rFonts w:hint="eastAsia" w:ascii="宋体" w:hAnsi="宋体" w:eastAsia="宋体" w:cs="宋体"/>
          <w:spacing w:val="-3"/>
        </w:rPr>
        <w:t>5</w:t>
      </w:r>
      <w:r>
        <w:rPr>
          <w:rFonts w:hint="eastAsia" w:ascii="宋体" w:hAnsi="宋体" w:eastAsia="宋体" w:cs="宋体"/>
          <w:spacing w:val="-3"/>
        </w:rPr>
        <w:t>小题</w:t>
      </w:r>
      <w:r>
        <w:rPr>
          <w:rFonts w:hint="eastAsia" w:ascii="宋体" w:hAnsi="宋体" w:eastAsia="宋体" w:cs="宋体"/>
          <w:spacing w:val="-3"/>
          <w:lang w:eastAsia="zh-CN"/>
        </w:rPr>
        <w:t>，</w:t>
      </w:r>
      <w:r>
        <w:rPr>
          <w:rFonts w:hint="eastAsia" w:ascii="宋体" w:hAnsi="宋体" w:eastAsia="宋体" w:cs="宋体"/>
          <w:spacing w:val="-3"/>
        </w:rPr>
        <w:t>共</w:t>
      </w:r>
      <w:r>
        <w:rPr>
          <w:rFonts w:hint="eastAsia" w:ascii="宋体" w:hAnsi="宋体" w:eastAsia="宋体" w:cs="宋体"/>
          <w:spacing w:val="-3"/>
        </w:rPr>
        <w:t>55</w:t>
      </w:r>
      <w:r>
        <w:rPr>
          <w:rFonts w:hint="eastAsia" w:ascii="宋体" w:hAnsi="宋体" w:eastAsia="宋体" w:cs="宋体"/>
          <w:spacing w:val="-3"/>
        </w:rPr>
        <w:t>分。</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16.(11分)为探究基因OSNAC对光合作用的影响，研究人员在相同条件下种植某品种水稻的野生型(WT)、OSNAC敲除突变体(KO)及OSNAC过量表达株(OE)，测定了灌浆期旗叶(位于植株最顶端)净光合速率和叶绿素含量，结果见下表。</w:t>
      </w:r>
    </w:p>
    <w:tbl>
      <w:tblPr>
        <w:tblStyle w:val="4"/>
        <w:tblW w:w="501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28"/>
        <w:gridCol w:w="3895"/>
        <w:gridCol w:w="40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56" w:type="pct"/>
            <w:tcBorders>
              <w:top w:val="single" w:color="000000" w:sz="6" w:space="0"/>
              <w:left w:val="single" w:color="000000" w:sz="6" w:space="0"/>
            </w:tcBorders>
            <w:vAlign w:val="top"/>
          </w:tcPr>
          <w:p>
            <w:pPr>
              <w:pStyle w:val="5"/>
              <w:rPr>
                <w:rFonts w:hint="eastAsia" w:ascii="宋体" w:hAnsi="宋体" w:eastAsia="宋体" w:cs="宋体"/>
                <w:sz w:val="21"/>
              </w:rPr>
            </w:pPr>
          </w:p>
        </w:tc>
        <w:tc>
          <w:tcPr>
            <w:tcW w:w="2332" w:type="pct"/>
            <w:tcBorders>
              <w:top w:val="single" w:color="000000" w:sz="6" w:space="0"/>
            </w:tcBorders>
            <w:vAlign w:val="top"/>
          </w:tcPr>
          <w:p>
            <w:pPr>
              <w:spacing w:before="183" w:line="184" w:lineRule="auto"/>
              <w:ind w:left="521"/>
              <w:rPr>
                <w:rFonts w:hint="eastAsia" w:ascii="宋体" w:hAnsi="宋体" w:eastAsia="宋体" w:cs="宋体"/>
              </w:rPr>
            </w:pPr>
            <w:r>
              <w:rPr>
                <w:rFonts w:hint="eastAsia" w:ascii="宋体" w:hAnsi="宋体" w:eastAsia="宋体" w:cs="宋体"/>
                <w:spacing w:val="7"/>
                <w:sz w:val="20"/>
                <w:szCs w:val="20"/>
              </w:rPr>
              <w:t>净光合速率</w:t>
            </w:r>
            <w:r>
              <w:rPr>
                <w:rFonts w:hint="eastAsia" w:ascii="宋体" w:hAnsi="宋体" w:eastAsia="宋体" w:cs="宋体"/>
                <w:spacing w:val="-16"/>
              </w:rPr>
              <w:t>(μmol</w:t>
            </w:r>
            <w:r>
              <w:rPr>
                <w:rFonts w:hint="eastAsia" w:ascii="宋体" w:hAnsi="宋体" w:eastAsia="宋体" w:cs="宋体"/>
                <w:spacing w:val="-11"/>
                <w:lang w:val="en-US" w:eastAsia="zh-CN"/>
              </w:rPr>
              <w:t>·</w:t>
            </w:r>
            <w:r>
              <w:rPr>
                <w:rFonts w:hint="eastAsia" w:ascii="宋体" w:hAnsi="宋体" w:eastAsia="宋体" w:cs="宋体"/>
                <w:spacing w:val="-16"/>
              </w:rPr>
              <w:t>m</w:t>
            </w:r>
            <w:r>
              <w:rPr>
                <w:rFonts w:hint="eastAsia" w:ascii="宋体" w:hAnsi="宋体" w:eastAsia="宋体" w:cs="宋体"/>
                <w:spacing w:val="10"/>
                <w:w w:val="125"/>
                <w:position w:val="9"/>
                <w:sz w:val="11"/>
                <w:szCs w:val="11"/>
              </w:rPr>
              <w:t>-2</w:t>
            </w:r>
            <w:r>
              <w:rPr>
                <w:rFonts w:hint="eastAsia" w:ascii="宋体" w:hAnsi="宋体" w:eastAsia="宋体" w:cs="宋体"/>
                <w:spacing w:val="-11"/>
                <w:lang w:val="en-US" w:eastAsia="zh-CN"/>
              </w:rPr>
              <w:t>·</w:t>
            </w:r>
            <w:r>
              <w:rPr>
                <w:rFonts w:hint="eastAsia" w:ascii="宋体" w:hAnsi="宋体" w:eastAsia="宋体" w:cs="宋体"/>
                <w:spacing w:val="40"/>
                <w:w w:val="101"/>
                <w:lang w:val="en-US" w:eastAsia="zh-CN"/>
              </w:rPr>
              <w:t>s</w:t>
            </w:r>
            <w:r>
              <w:rPr>
                <w:rFonts w:hint="eastAsia" w:ascii="宋体" w:hAnsi="宋体" w:eastAsia="宋体" w:cs="宋体"/>
                <w:spacing w:val="11"/>
                <w:w w:val="111"/>
                <w:position w:val="9"/>
                <w:sz w:val="11"/>
                <w:szCs w:val="11"/>
              </w:rPr>
              <w:t>-1</w:t>
            </w:r>
            <w:r>
              <w:rPr>
                <w:rFonts w:hint="eastAsia" w:ascii="宋体" w:hAnsi="宋体" w:eastAsia="宋体" w:cs="宋体"/>
                <w:spacing w:val="11"/>
                <w:w w:val="111"/>
              </w:rPr>
              <w:t>)</w:t>
            </w:r>
          </w:p>
        </w:tc>
        <w:tc>
          <w:tcPr>
            <w:tcW w:w="2411" w:type="pct"/>
            <w:tcBorders>
              <w:top w:val="single" w:color="000000" w:sz="6" w:space="0"/>
              <w:right w:val="single" w:color="000000" w:sz="6" w:space="0"/>
            </w:tcBorders>
            <w:vAlign w:val="top"/>
          </w:tcPr>
          <w:p>
            <w:pPr>
              <w:pStyle w:val="5"/>
              <w:spacing w:before="183" w:line="294" w:lineRule="auto"/>
              <w:ind w:left="574" w:right="518" w:hanging="32"/>
              <w:rPr>
                <w:rFonts w:hint="eastAsia" w:ascii="宋体" w:hAnsi="宋体" w:eastAsia="宋体" w:cs="宋体"/>
              </w:rPr>
            </w:pPr>
            <w:r>
              <w:rPr>
                <w:rFonts w:hint="eastAsia" w:ascii="宋体" w:hAnsi="宋体" w:eastAsia="宋体" w:cs="宋体"/>
                <w:spacing w:val="5"/>
              </w:rPr>
              <w:t>叶绿素含量</w:t>
            </w:r>
            <w:r>
              <w:rPr>
                <w:rFonts w:hint="eastAsia" w:ascii="宋体" w:hAnsi="宋体" w:eastAsia="宋体" w:cs="宋体"/>
                <w:spacing w:val="-11"/>
              </w:rPr>
              <w:t>(mG</w:t>
            </w:r>
            <w:r>
              <w:rPr>
                <w:rFonts w:hint="eastAsia" w:ascii="宋体" w:hAnsi="宋体" w:eastAsia="宋体" w:cs="宋体"/>
                <w:spacing w:val="-11"/>
                <w:lang w:val="en-US" w:eastAsia="zh-CN"/>
              </w:rPr>
              <w:t>·</w:t>
            </w:r>
            <w:r>
              <w:rPr>
                <w:rFonts w:hint="eastAsia" w:ascii="宋体" w:hAnsi="宋体" w:eastAsia="宋体" w:cs="宋体"/>
                <w:spacing w:val="-11"/>
              </w:rPr>
              <w:t>G</w:t>
            </w:r>
            <w:r>
              <w:rPr>
                <w:rFonts w:hint="eastAsia" w:ascii="宋体" w:hAnsi="宋体" w:eastAsia="宋体" w:cs="宋体"/>
                <w:spacing w:val="-11"/>
                <w:position w:val="9"/>
                <w:sz w:val="11"/>
                <w:szCs w:val="11"/>
              </w:rPr>
              <w:t>-1</w:t>
            </w:r>
            <w:r>
              <w:rPr>
                <w:rFonts w:hint="eastAsia" w:ascii="宋体" w:hAnsi="宋体" w:eastAsia="宋体" w:cs="宋体"/>
                <w:spacing w:val="4"/>
                <w:w w:val="1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256" w:type="pct"/>
            <w:tcBorders>
              <w:left w:val="single" w:color="000000" w:sz="6" w:space="0"/>
            </w:tcBorders>
            <w:vAlign w:val="top"/>
          </w:tcPr>
          <w:p>
            <w:pPr>
              <w:pStyle w:val="5"/>
              <w:spacing w:before="145" w:line="191" w:lineRule="auto"/>
              <w:jc w:val="right"/>
              <w:rPr>
                <w:rFonts w:hint="eastAsia" w:ascii="宋体" w:hAnsi="宋体" w:eastAsia="宋体" w:cs="宋体"/>
              </w:rPr>
            </w:pPr>
            <w:r>
              <w:rPr>
                <w:rFonts w:hint="eastAsia" w:ascii="宋体" w:hAnsi="宋体" w:eastAsia="宋体" w:cs="宋体"/>
                <w:spacing w:val="22"/>
              </w:rPr>
              <w:t>WT</w:t>
            </w:r>
          </w:p>
        </w:tc>
        <w:tc>
          <w:tcPr>
            <w:tcW w:w="2332" w:type="pct"/>
            <w:vAlign w:val="top"/>
          </w:tcPr>
          <w:p>
            <w:pPr>
              <w:pStyle w:val="5"/>
              <w:spacing w:before="143" w:line="190" w:lineRule="auto"/>
              <w:ind w:left="828"/>
              <w:rPr>
                <w:rFonts w:hint="eastAsia" w:ascii="宋体" w:hAnsi="宋体" w:eastAsia="宋体" w:cs="宋体"/>
              </w:rPr>
            </w:pPr>
            <w:r>
              <w:rPr>
                <w:rFonts w:hint="eastAsia" w:ascii="宋体" w:hAnsi="宋体" w:eastAsia="宋体" w:cs="宋体"/>
                <w:spacing w:val="-14"/>
              </w:rPr>
              <w:t>24.0</w:t>
            </w:r>
          </w:p>
        </w:tc>
        <w:tc>
          <w:tcPr>
            <w:tcW w:w="2411" w:type="pct"/>
            <w:tcBorders>
              <w:right w:val="single" w:color="000000" w:sz="6" w:space="0"/>
            </w:tcBorders>
            <w:vAlign w:val="top"/>
          </w:tcPr>
          <w:p>
            <w:pPr>
              <w:pStyle w:val="5"/>
              <w:spacing w:before="144" w:line="189" w:lineRule="auto"/>
              <w:ind w:left="884"/>
              <w:rPr>
                <w:rFonts w:hint="eastAsia" w:ascii="宋体" w:hAnsi="宋体" w:eastAsia="宋体" w:cs="宋体"/>
              </w:rPr>
            </w:pPr>
            <w:r>
              <w:rPr>
                <w:rFonts w:hint="eastAsia" w:ascii="宋体" w:hAnsi="宋体" w:eastAsia="宋体" w:cs="宋体"/>
                <w:spacing w:val="-15"/>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256" w:type="pct"/>
            <w:tcBorders>
              <w:left w:val="single" w:color="000000" w:sz="6" w:space="0"/>
            </w:tcBorders>
            <w:vAlign w:val="top"/>
          </w:tcPr>
          <w:p>
            <w:pPr>
              <w:pStyle w:val="5"/>
              <w:spacing w:before="145" w:line="191" w:lineRule="auto"/>
              <w:jc w:val="right"/>
              <w:rPr>
                <w:rFonts w:hint="eastAsia" w:ascii="宋体" w:hAnsi="宋体" w:eastAsia="宋体" w:cs="宋体"/>
              </w:rPr>
            </w:pPr>
            <w:r>
              <w:rPr>
                <w:rFonts w:hint="eastAsia" w:ascii="宋体" w:hAnsi="宋体" w:eastAsia="宋体" w:cs="宋体"/>
                <w:spacing w:val="21"/>
              </w:rPr>
              <w:t>KO</w:t>
            </w:r>
          </w:p>
        </w:tc>
        <w:tc>
          <w:tcPr>
            <w:tcW w:w="2332" w:type="pct"/>
            <w:vAlign w:val="top"/>
          </w:tcPr>
          <w:p>
            <w:pPr>
              <w:pStyle w:val="5"/>
              <w:spacing w:before="146" w:line="190" w:lineRule="auto"/>
              <w:ind w:left="828"/>
              <w:rPr>
                <w:rFonts w:hint="eastAsia" w:ascii="宋体" w:hAnsi="宋体" w:eastAsia="宋体" w:cs="宋体"/>
              </w:rPr>
            </w:pPr>
            <w:r>
              <w:rPr>
                <w:rFonts w:hint="eastAsia" w:ascii="宋体" w:hAnsi="宋体" w:eastAsia="宋体" w:cs="宋体"/>
                <w:spacing w:val="-14"/>
              </w:rPr>
              <w:t>20.3</w:t>
            </w:r>
          </w:p>
        </w:tc>
        <w:tc>
          <w:tcPr>
            <w:tcW w:w="2411" w:type="pct"/>
            <w:tcBorders>
              <w:right w:val="single" w:color="000000" w:sz="6" w:space="0"/>
            </w:tcBorders>
            <w:vAlign w:val="top"/>
          </w:tcPr>
          <w:p>
            <w:pPr>
              <w:pStyle w:val="5"/>
              <w:spacing w:before="146" w:line="190" w:lineRule="auto"/>
              <w:ind w:left="890"/>
              <w:rPr>
                <w:rFonts w:hint="eastAsia" w:ascii="宋体" w:hAnsi="宋体" w:eastAsia="宋体" w:cs="宋体"/>
              </w:rPr>
            </w:pPr>
            <w:r>
              <w:rPr>
                <w:rFonts w:hint="eastAsia" w:ascii="宋体" w:hAnsi="宋体" w:eastAsia="宋体" w:cs="宋体"/>
                <w:spacing w:val="-17"/>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256" w:type="pct"/>
            <w:tcBorders>
              <w:left w:val="single" w:color="000000" w:sz="6" w:space="0"/>
              <w:bottom w:val="single" w:color="000000" w:sz="6" w:space="0"/>
            </w:tcBorders>
            <w:vAlign w:val="top"/>
          </w:tcPr>
          <w:p>
            <w:pPr>
              <w:pStyle w:val="5"/>
              <w:spacing w:before="149" w:line="191" w:lineRule="auto"/>
              <w:ind w:right="3"/>
              <w:jc w:val="right"/>
              <w:rPr>
                <w:rFonts w:hint="eastAsia" w:ascii="宋体" w:hAnsi="宋体" w:eastAsia="宋体" w:cs="宋体"/>
              </w:rPr>
            </w:pPr>
            <w:r>
              <w:rPr>
                <w:rFonts w:hint="eastAsia" w:ascii="宋体" w:hAnsi="宋体" w:eastAsia="宋体" w:cs="宋体"/>
                <w:spacing w:val="21"/>
              </w:rPr>
              <w:t>OE</w:t>
            </w:r>
          </w:p>
        </w:tc>
        <w:tc>
          <w:tcPr>
            <w:tcW w:w="2332" w:type="pct"/>
            <w:tcBorders>
              <w:bottom w:val="single" w:color="000000" w:sz="6" w:space="0"/>
            </w:tcBorders>
            <w:vAlign w:val="top"/>
          </w:tcPr>
          <w:p>
            <w:pPr>
              <w:pStyle w:val="5"/>
              <w:spacing w:before="150" w:line="191" w:lineRule="auto"/>
              <w:ind w:left="828"/>
              <w:rPr>
                <w:rFonts w:hint="eastAsia" w:ascii="宋体" w:hAnsi="宋体" w:eastAsia="宋体" w:cs="宋体"/>
              </w:rPr>
            </w:pPr>
            <w:r>
              <w:rPr>
                <w:rFonts w:hint="eastAsia" w:ascii="宋体" w:hAnsi="宋体" w:eastAsia="宋体" w:cs="宋体"/>
                <w:spacing w:val="-14"/>
              </w:rPr>
              <w:t>27.7</w:t>
            </w:r>
          </w:p>
        </w:tc>
        <w:tc>
          <w:tcPr>
            <w:tcW w:w="2411" w:type="pct"/>
            <w:tcBorders>
              <w:bottom w:val="single" w:color="000000" w:sz="6" w:space="0"/>
              <w:right w:val="single" w:color="000000" w:sz="6" w:space="0"/>
            </w:tcBorders>
            <w:vAlign w:val="top"/>
          </w:tcPr>
          <w:p>
            <w:pPr>
              <w:pStyle w:val="5"/>
              <w:spacing w:before="148" w:line="191" w:lineRule="auto"/>
              <w:ind w:left="884"/>
              <w:rPr>
                <w:rFonts w:hint="eastAsia" w:ascii="宋体" w:hAnsi="宋体" w:eastAsia="宋体" w:cs="宋体"/>
              </w:rPr>
            </w:pPr>
            <w:r>
              <w:rPr>
                <w:rFonts w:hint="eastAsia" w:ascii="宋体" w:hAnsi="宋体" w:eastAsia="宋体" w:cs="宋体"/>
                <w:spacing w:val="-15"/>
              </w:rPr>
              <w:t>4.6</w:t>
            </w:r>
          </w:p>
        </w:tc>
      </w:tr>
    </w:tbl>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回答下列问题。</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(1)旗叶从外界吸收1分子CO2与核酮糖-1，5-二磷酸结合，在特定酶作用下形成2分子3-磷酸甘油酸；在有关酶的作用下，3-磷酸甘油酸接受__________________释放的能量并被还原，随后在叶绿体基质中转化为____________________________________。</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(2)与WT相比，实验组KO与OE的设置分别采用了自变量控制中的________________________________、</w:t>
      </w:r>
      <w:r>
        <w:rPr>
          <w:rFonts w:hint="eastAsia" w:ascii="宋体" w:hAnsi="宋体" w:eastAsia="宋体" w:cs="宋体"/>
          <w:spacing w:val="6"/>
          <w:position w:val="1"/>
          <w:lang w:val="en-US" w:eastAsia="zh-CN"/>
        </w:rPr>
        <w:tab/>
      </w:r>
      <w:r>
        <w:rPr>
          <w:rFonts w:hint="eastAsia" w:ascii="宋体" w:hAnsi="宋体" w:eastAsia="宋体" w:cs="宋体"/>
          <w:spacing w:val="6"/>
          <w:position w:val="1"/>
          <w:lang w:val="en-US" w:eastAsia="zh-CN"/>
        </w:rPr>
        <w:t>(填科学方法)。</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(3)据表可知，OSNAC过量表达会使旗叶净光合速率________________________。为进一步探究该基因的功能，研究人员测定了旗叶中编码蔗糖转运蛋白基因的相对表达量、蔗糖含量及单株产量，结果如图。</w:t>
      </w:r>
    </w:p>
    <w:p>
      <w:pPr>
        <w:rPr>
          <w:rFonts w:hint="eastAsia" w:ascii="宋体" w:hAnsi="宋体" w:eastAsia="宋体" w:cs="宋体"/>
          <w:spacing w:val="6"/>
          <w:position w:val="1"/>
          <w:lang w:val="en-US" w:eastAsia="zh-CN"/>
        </w:rPr>
      </w:pP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drawing>
          <wp:inline distT="0" distB="0" distL="114300" distR="114300">
            <wp:extent cx="2854960" cy="1569085"/>
            <wp:effectExtent l="0" t="0" r="2540" b="12065"/>
            <wp:docPr id="21" name="图片 21" descr="171925467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19254676124"/>
                    <pic:cNvPicPr>
                      <a:picLocks noChangeAspect="1"/>
                    </pic:cNvPicPr>
                  </pic:nvPicPr>
                  <pic:blipFill>
                    <a:blip r:embed="rId8"/>
                    <a:stretch>
                      <a:fillRect/>
                    </a:stretch>
                  </pic:blipFill>
                  <pic:spPr>
                    <a:xfrm>
                      <a:off x="0" y="0"/>
                      <a:ext cx="2854960" cy="1569085"/>
                    </a:xfrm>
                    <a:prstGeom prst="rect">
                      <a:avLst/>
                    </a:prstGeom>
                  </pic:spPr>
                </pic:pic>
              </a:graphicData>
            </a:graphic>
          </wp:inline>
        </w:drawing>
      </w:r>
      <w:r>
        <w:rPr>
          <w:rFonts w:hint="eastAsia" w:ascii="宋体" w:hAnsi="宋体" w:eastAsia="宋体" w:cs="宋体"/>
          <w:spacing w:val="6"/>
          <w:position w:val="1"/>
          <w:lang w:val="en-US" w:eastAsia="zh-CN"/>
        </w:rPr>
        <w:drawing>
          <wp:inline distT="0" distB="0" distL="114300" distR="114300">
            <wp:extent cx="1664335" cy="1527175"/>
            <wp:effectExtent l="0" t="0" r="12065" b="15875"/>
            <wp:docPr id="22" name="图片 22" descr="171925470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19254702799"/>
                    <pic:cNvPicPr>
                      <a:picLocks noChangeAspect="1"/>
                    </pic:cNvPicPr>
                  </pic:nvPicPr>
                  <pic:blipFill>
                    <a:blip r:embed="rId9"/>
                    <a:stretch>
                      <a:fillRect/>
                    </a:stretch>
                  </pic:blipFill>
                  <pic:spPr>
                    <a:xfrm>
                      <a:off x="0" y="0"/>
                      <a:ext cx="1664335" cy="1527175"/>
                    </a:xfrm>
                    <a:prstGeom prst="rect">
                      <a:avLst/>
                    </a:prstGeom>
                  </pic:spPr>
                </pic:pic>
              </a:graphicData>
            </a:graphic>
          </wp:inline>
        </w:drawing>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结合图表，分析OSNAC过量表达会使旗叶净光合速率发生相应变化的原因</w:t>
      </w:r>
      <w:bookmarkStart w:id="0" w:name="_GoBack"/>
      <w:bookmarkEnd w:id="0"/>
      <w:r>
        <w:rPr>
          <w:rFonts w:hint="eastAsia" w:ascii="宋体" w:hAnsi="宋体" w:eastAsia="宋体" w:cs="宋体"/>
          <w:spacing w:val="6"/>
          <w:position w:val="1"/>
          <w:lang w:val="en-US" w:eastAsia="zh-CN"/>
        </w:rPr>
        <w:t>：</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①______________________________________________________________________；</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②______________________________________________________________________。</w:t>
      </w:r>
    </w:p>
    <w:p>
      <w:pPr>
        <w:rPr>
          <w:rFonts w:hint="eastAsia" w:ascii="宋体" w:hAnsi="宋体" w:eastAsia="宋体" w:cs="宋体"/>
          <w:spacing w:val="6"/>
          <w:position w:val="1"/>
          <w:lang w:val="en-US" w:eastAsia="zh-CN"/>
        </w:rPr>
      </w:pP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17.(10分)大气中二氧化碳浓度升高会导致全球气候变化。研究人员探究了390μL</w:t>
      </w:r>
      <w:r>
        <w:rPr>
          <w:rFonts w:hint="eastAsia" w:ascii="宋体" w:hAnsi="宋体" w:eastAsia="宋体" w:cs="宋体"/>
          <w:spacing w:val="-11"/>
          <w:lang w:val="en-US" w:eastAsia="zh-CN"/>
        </w:rPr>
        <w:t>·</w:t>
      </w:r>
      <w:r>
        <w:rPr>
          <w:rFonts w:hint="eastAsia" w:ascii="宋体" w:hAnsi="宋体" w:eastAsia="宋体" w:cs="宋体"/>
          <w:spacing w:val="6"/>
          <w:position w:val="1"/>
          <w:lang w:val="en-US" w:eastAsia="zh-CN"/>
        </w:rPr>
        <w:t>L</w:t>
      </w:r>
      <w:r>
        <w:rPr>
          <w:rFonts w:hint="eastAsia" w:ascii="宋体" w:hAnsi="宋体" w:eastAsia="宋体" w:cs="宋体"/>
          <w:spacing w:val="6"/>
          <w:position w:val="1"/>
          <w:vertAlign w:val="superscript"/>
          <w:lang w:val="en-US" w:eastAsia="zh-CN"/>
        </w:rPr>
        <w:t>-1</w:t>
      </w:r>
      <w:r>
        <w:rPr>
          <w:rFonts w:hint="eastAsia" w:ascii="宋体" w:hAnsi="宋体" w:eastAsia="宋体" w:cs="宋体"/>
          <w:spacing w:val="6"/>
          <w:position w:val="1"/>
          <w:lang w:val="en-US" w:eastAsia="zh-CN"/>
        </w:rPr>
        <w:t>(P1，当前空气中的浓度)和1000μL</w:t>
      </w:r>
      <w:r>
        <w:rPr>
          <w:rFonts w:hint="eastAsia" w:ascii="宋体" w:hAnsi="宋体" w:eastAsia="宋体" w:cs="宋体"/>
          <w:spacing w:val="-11"/>
          <w:lang w:val="en-US" w:eastAsia="zh-CN"/>
        </w:rPr>
        <w:t>·</w:t>
      </w:r>
      <w:r>
        <w:rPr>
          <w:rFonts w:hint="eastAsia" w:ascii="宋体" w:hAnsi="宋体" w:eastAsia="宋体" w:cs="宋体"/>
          <w:spacing w:val="6"/>
          <w:position w:val="1"/>
          <w:lang w:val="en-US" w:eastAsia="zh-CN"/>
        </w:rPr>
        <w:t>L</w:t>
      </w:r>
      <w:r>
        <w:rPr>
          <w:rFonts w:hint="eastAsia" w:ascii="宋体" w:hAnsi="宋体" w:eastAsia="宋体" w:cs="宋体"/>
          <w:spacing w:val="6"/>
          <w:position w:val="1"/>
          <w:vertAlign w:val="superscript"/>
          <w:lang w:val="en-US" w:eastAsia="zh-CN"/>
        </w:rPr>
        <w:t>-1</w:t>
      </w:r>
      <w:r>
        <w:rPr>
          <w:rFonts w:hint="eastAsia" w:ascii="宋体" w:hAnsi="宋体" w:eastAsia="宋体" w:cs="宋体"/>
          <w:spacing w:val="6"/>
          <w:position w:val="1"/>
          <w:lang w:val="en-US" w:eastAsia="zh-CN"/>
        </w:rPr>
        <w:t>(P2)两个CO</w:t>
      </w:r>
      <w:r>
        <w:rPr>
          <w:rFonts w:hint="eastAsia" w:ascii="宋体" w:hAnsi="宋体" w:eastAsia="宋体" w:cs="宋体"/>
          <w:spacing w:val="6"/>
          <w:position w:val="1"/>
          <w:vertAlign w:val="subscript"/>
          <w:lang w:val="en-US" w:eastAsia="zh-CN"/>
        </w:rPr>
        <w:t>2</w:t>
      </w:r>
      <w:r>
        <w:rPr>
          <w:rFonts w:hint="eastAsia" w:ascii="宋体" w:hAnsi="宋体" w:eastAsia="宋体" w:cs="宋体"/>
          <w:spacing w:val="6"/>
          <w:position w:val="1"/>
          <w:lang w:val="en-US" w:eastAsia="zh-CN"/>
        </w:rPr>
        <w:t>浓度下，盐生杜氏藻(甲)和米氏凯伦藻(乙)在单独培养及混合培养下的细胞密度变化，实验中确保养分充足，结果如图1。</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drawing>
          <wp:inline distT="0" distB="0" distL="114300" distR="114300">
            <wp:extent cx="2559050" cy="1834515"/>
            <wp:effectExtent l="0" t="0" r="12700" b="13335"/>
            <wp:docPr id="23" name="图片 23" descr="171925482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19254829341"/>
                    <pic:cNvPicPr>
                      <a:picLocks noChangeAspect="1"/>
                    </pic:cNvPicPr>
                  </pic:nvPicPr>
                  <pic:blipFill>
                    <a:blip r:embed="rId10"/>
                    <a:stretch>
                      <a:fillRect/>
                    </a:stretch>
                  </pic:blipFill>
                  <pic:spPr>
                    <a:xfrm>
                      <a:off x="0" y="0"/>
                      <a:ext cx="2559050" cy="1834515"/>
                    </a:xfrm>
                    <a:prstGeom prst="rect">
                      <a:avLst/>
                    </a:prstGeom>
                  </pic:spPr>
                </pic:pic>
              </a:graphicData>
            </a:graphic>
          </wp:inline>
        </w:drawing>
      </w:r>
      <w:r>
        <w:rPr>
          <w:rFonts w:hint="eastAsia" w:ascii="宋体" w:hAnsi="宋体" w:eastAsia="宋体" w:cs="宋体"/>
          <w:spacing w:val="6"/>
          <w:position w:val="1"/>
          <w:lang w:val="en-US" w:eastAsia="zh-CN"/>
        </w:rPr>
        <w:drawing>
          <wp:inline distT="0" distB="0" distL="114300" distR="114300">
            <wp:extent cx="2655570" cy="1891030"/>
            <wp:effectExtent l="0" t="0" r="11430" b="13970"/>
            <wp:docPr id="24" name="图片 24" descr="171925485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19254857303"/>
                    <pic:cNvPicPr>
                      <a:picLocks noChangeAspect="1"/>
                    </pic:cNvPicPr>
                  </pic:nvPicPr>
                  <pic:blipFill>
                    <a:blip r:embed="rId11"/>
                    <a:stretch>
                      <a:fillRect/>
                    </a:stretch>
                  </pic:blipFill>
                  <pic:spPr>
                    <a:xfrm>
                      <a:off x="0" y="0"/>
                      <a:ext cx="2655570" cy="1891030"/>
                    </a:xfrm>
                    <a:prstGeom prst="rect">
                      <a:avLst/>
                    </a:prstGeom>
                  </pic:spPr>
                </pic:pic>
              </a:graphicData>
            </a:graphic>
          </wp:inline>
        </w:drawing>
      </w:r>
    </w:p>
    <w:p>
      <w:pPr>
        <w:ind w:firstLine="3774" w:firstLineChars="1700"/>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图1</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回答下列问题。</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(1)实验中发现，培养液的PH会随着藻细胞密度的增加而升高，原因可能是________________________________________________</w:t>
      </w:r>
      <w:r>
        <w:rPr>
          <w:rFonts w:hint="eastAsia" w:ascii="宋体" w:hAnsi="宋体" w:eastAsia="宋体" w:cs="宋体"/>
          <w:spacing w:val="9"/>
        </w:rPr>
        <w:t>(答出</w:t>
      </w:r>
      <w:r>
        <w:rPr>
          <w:rFonts w:hint="eastAsia" w:ascii="宋体" w:hAnsi="宋体" w:eastAsia="宋体" w:cs="宋体"/>
          <w:spacing w:val="9"/>
        </w:rPr>
        <w:t>1</w:t>
      </w:r>
      <w:r>
        <w:rPr>
          <w:rFonts w:hint="eastAsia" w:ascii="宋体" w:hAnsi="宋体" w:eastAsia="宋体" w:cs="宋体"/>
          <w:spacing w:val="9"/>
        </w:rPr>
        <w:t>点即可)。</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(2)与单独培养相比，两种藻混合培养的结果说明________________________________</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________________________________。推行绿色低碳生活更有利于减缓________(填“甲”或“乙”)的种群增长。</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(3)为进一步探究混合培养下两种藻生长出现差异的原因，研究人员利用培养过一种藻的过滤液去培养另一种藻，其他培养条件相同且适宜，结果如图2。综合图1和图2，分析混合培养引起甲、乙种群数量变化的原因分别是</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①________________________________________________________________________；②________________________________________________________________________。</w:t>
      </w:r>
    </w:p>
    <w:p>
      <w:pPr>
        <w:rPr>
          <w:rFonts w:hint="eastAsia" w:ascii="宋体" w:hAnsi="宋体" w:eastAsia="宋体" w:cs="宋体"/>
          <w:spacing w:val="6"/>
          <w:position w:val="1"/>
          <w:lang w:val="en-US" w:eastAsia="zh-CN"/>
        </w:rPr>
      </w:pP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drawing>
          <wp:inline distT="0" distB="0" distL="114300" distR="114300">
            <wp:extent cx="2621280" cy="1929765"/>
            <wp:effectExtent l="0" t="0" r="7620" b="13335"/>
            <wp:docPr id="25" name="图片 25" descr="171925503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19255034020"/>
                    <pic:cNvPicPr>
                      <a:picLocks noChangeAspect="1"/>
                    </pic:cNvPicPr>
                  </pic:nvPicPr>
                  <pic:blipFill>
                    <a:blip r:embed="rId12"/>
                    <a:stretch>
                      <a:fillRect/>
                    </a:stretch>
                  </pic:blipFill>
                  <pic:spPr>
                    <a:xfrm>
                      <a:off x="0" y="0"/>
                      <a:ext cx="2621280" cy="1929765"/>
                    </a:xfrm>
                    <a:prstGeom prst="rect">
                      <a:avLst/>
                    </a:prstGeom>
                  </pic:spPr>
                </pic:pic>
              </a:graphicData>
            </a:graphic>
          </wp:inline>
        </w:drawing>
      </w:r>
      <w:r>
        <w:rPr>
          <w:rFonts w:hint="eastAsia" w:ascii="宋体" w:hAnsi="宋体" w:eastAsia="宋体" w:cs="宋体"/>
          <w:spacing w:val="6"/>
          <w:position w:val="1"/>
          <w:lang w:val="en-US" w:eastAsia="zh-CN"/>
        </w:rPr>
        <w:drawing>
          <wp:inline distT="0" distB="0" distL="114300" distR="114300">
            <wp:extent cx="2542540" cy="1822450"/>
            <wp:effectExtent l="0" t="0" r="10160" b="6350"/>
            <wp:docPr id="26" name="图片 26" descr="171925506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19255064174"/>
                    <pic:cNvPicPr>
                      <a:picLocks noChangeAspect="1"/>
                    </pic:cNvPicPr>
                  </pic:nvPicPr>
                  <pic:blipFill>
                    <a:blip r:embed="rId13"/>
                    <a:stretch>
                      <a:fillRect/>
                    </a:stretch>
                  </pic:blipFill>
                  <pic:spPr>
                    <a:xfrm>
                      <a:off x="0" y="0"/>
                      <a:ext cx="2542540" cy="1822450"/>
                    </a:xfrm>
                    <a:prstGeom prst="rect">
                      <a:avLst/>
                    </a:prstGeom>
                  </pic:spPr>
                </pic:pic>
              </a:graphicData>
            </a:graphic>
          </wp:inline>
        </w:drawing>
      </w:r>
    </w:p>
    <w:p>
      <w:pPr>
        <w:jc w:val="cente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图2</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(4)一定条件下，藻类等多种微型生物容易在近海水域短期内急剧增殖，引发赤潮，主要原因是__________________________________________________________________。</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18.(11分)短跑赛场上，发令枪一响，运动员会像离弦的箭一样冲出。该行为涉及机体的反射调节，其部分通路如图。回答下列问题。</w:t>
      </w:r>
    </w:p>
    <w:p>
      <w:pPr>
        <w:rPr>
          <w:rFonts w:hint="eastAsia" w:ascii="宋体" w:hAnsi="宋体" w:eastAsia="宋体" w:cs="宋体"/>
          <w:spacing w:val="6"/>
          <w:position w:val="1"/>
          <w:lang w:val="en-US" w:eastAsia="zh-CN"/>
        </w:rPr>
      </w:pPr>
      <w:r>
        <w:rPr>
          <w:rFonts w:hint="eastAsia" w:ascii="宋体" w:hAnsi="宋体" w:eastAsia="宋体" w:cs="宋体"/>
        </w:rPr>
        <w:drawing>
          <wp:inline distT="0" distB="0" distL="114300" distR="114300">
            <wp:extent cx="1957705" cy="2486025"/>
            <wp:effectExtent l="0" t="0" r="4445" b="952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4"/>
                    <a:stretch>
                      <a:fillRect/>
                    </a:stretch>
                  </pic:blipFill>
                  <pic:spPr>
                    <a:xfrm>
                      <a:off x="0" y="0"/>
                      <a:ext cx="1957705" cy="2486025"/>
                    </a:xfrm>
                    <a:prstGeom prst="rect">
                      <a:avLst/>
                    </a:prstGeom>
                    <a:noFill/>
                    <a:ln>
                      <a:noFill/>
                    </a:ln>
                  </pic:spPr>
                </pic:pic>
              </a:graphicData>
            </a:graphic>
          </wp:inline>
        </w:drawing>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(1)运动员听到发令枪响后起跑属于________________反射。短跑比赛规则规定，在枪响后0.1s内起跑视为抢跑，该行为的兴奋传导路径是________________(填结构名称并用箭头相连)。</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(2)大脑皮层运动中枢发出的指令通过皮层下神经元④和⑤控制神经元②和③，进而精准调控肌肉收缩，体现了神经系统对躯体运动的调节是________________。中枢神经元④和⑤的兴奋均可引起b结构收缩，可以推断A结构是反射弧中的________________________________________________；若在箭头处切断神经纤维，b结构收缩强度会________________。</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(3)脑机接口可用于因脊髓损伤导致瘫痪的临床康复治疗。原理是脑机接口获取________________(填图中数字)发出的信号，运用计算机解码患者的运动意图，再将解码信息输送给患肢，实现对患肢活动的控制。</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19.(12分)一个具有甲、乙两种单基因遗传病的家族系谱图如下。甲病是某种家族遗传性肿瘤，由等位基因A/A控制；乙病是苯丙酮尿症，因缺乏苯丙氨酸羟化酶所致，由等位基因B/b控制，两对基因独立遗传。</w:t>
      </w:r>
    </w:p>
    <w:p>
      <w:pPr>
        <w:rPr>
          <w:rFonts w:hint="eastAsia" w:ascii="宋体" w:hAnsi="宋体" w:eastAsia="宋体" w:cs="宋体"/>
          <w:spacing w:val="6"/>
          <w:position w:val="1"/>
          <w:lang w:val="en-US" w:eastAsia="zh-CN"/>
        </w:rPr>
      </w:pPr>
    </w:p>
    <w:p>
      <w:pPr>
        <w:rPr>
          <w:rFonts w:hint="eastAsia" w:ascii="宋体" w:hAnsi="宋体" w:eastAsia="宋体" w:cs="宋体"/>
          <w:spacing w:val="6"/>
          <w:position w:val="1"/>
          <w:lang w:val="en-US" w:eastAsia="zh-CN"/>
        </w:rPr>
      </w:pP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drawing>
          <wp:inline distT="0" distB="0" distL="114300" distR="114300">
            <wp:extent cx="4373245" cy="1363345"/>
            <wp:effectExtent l="0" t="0" r="8255" b="8255"/>
            <wp:docPr id="28" name="图片 28" descr="171925533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19255339793"/>
                    <pic:cNvPicPr>
                      <a:picLocks noChangeAspect="1"/>
                    </pic:cNvPicPr>
                  </pic:nvPicPr>
                  <pic:blipFill>
                    <a:blip r:embed="rId15"/>
                    <a:stretch>
                      <a:fillRect/>
                    </a:stretch>
                  </pic:blipFill>
                  <pic:spPr>
                    <a:xfrm>
                      <a:off x="0" y="0"/>
                      <a:ext cx="4373245" cy="1363345"/>
                    </a:xfrm>
                    <a:prstGeom prst="rect">
                      <a:avLst/>
                    </a:prstGeom>
                  </pic:spPr>
                </pic:pic>
              </a:graphicData>
            </a:graphic>
          </wp:inline>
        </w:drawing>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回答下列问题。</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(1)据图可知，两种遗传病的遗传方式为：甲病____________________________；乙病__________________。推测Ⅱ-2的基因型是_____________________________。</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(2)我国科学家研究发现，怀孕母体的血液中有少量来自胎儿的游离DNA，提取母亲血液中的DNA，采用PCR方法可以检测胎儿的基因状况，进行遗传病诊断。该技术的优点是______________________________________________________(答出2点即可)。</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(3)科研人员对该家系成员的两个基因进行了PCR扩增，部分成员扩增产物凝胶电泳图如下。</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drawing>
          <wp:inline distT="0" distB="0" distL="114300" distR="114300">
            <wp:extent cx="4455160" cy="2062480"/>
            <wp:effectExtent l="0" t="0" r="2540" b="13970"/>
            <wp:docPr id="29" name="图片 29" descr="171925537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19255376541"/>
                    <pic:cNvPicPr>
                      <a:picLocks noChangeAspect="1"/>
                    </pic:cNvPicPr>
                  </pic:nvPicPr>
                  <pic:blipFill>
                    <a:blip r:embed="rId16"/>
                    <a:stretch>
                      <a:fillRect/>
                    </a:stretch>
                  </pic:blipFill>
                  <pic:spPr>
                    <a:xfrm>
                      <a:off x="0" y="0"/>
                      <a:ext cx="4455160" cy="2062480"/>
                    </a:xfrm>
                    <a:prstGeom prst="rect">
                      <a:avLst/>
                    </a:prstGeom>
                  </pic:spPr>
                </pic:pic>
              </a:graphicData>
            </a:graphic>
          </wp:inline>
        </w:drawing>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据图分析，乙病是由于正常基因发生了碱基____________所致。假设在正常人群中乙病携带者的概率为1/75，若Ⅲ-5与一个无亲缘关系的正常男子婚配，生育患病孩子的概率为______；若Ⅲ-5和Ⅲ-3婚配，生育患病孩子的概率是前一种婚配的______倍。因此，避免近亲结婚可以有效降低遗传病的发病风险。</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(4)近年来，反义RNA药物已被用于疾病治疗。该类药物是一种短片段RNA，递送到细胞中，能与目标基因的mRNA互补结合形成部分双链，影响蛋白质翻译，最终达到治疗目的。上述家系中，选择__________________基因作为目标，有望达到治疗目的。</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20.(11分)丁二醇广泛应用于化妆品和食品等领域。兴趣小组在已改造的大肠杆菌中引入合成丁二醇的关键基因X,以提高丁二醇的产量。回答下列问题。</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(1)扩增X基因时,PCR反应中需要使用TaqDNA聚合酶,原因是_________________</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___________________________________________。</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(2)使用BamHI和salI限制酶处理质粒和X基因,连接后转化大肠杆菌,并涂布在无抗生素平板上(如图)。在此基础上,进一步筛选含目的基因菌株的实验思路是_______________________________________________________。</w:t>
      </w:r>
    </w:p>
    <w:p>
      <w:pPr>
        <w:rPr>
          <w:rFonts w:hint="eastAsia" w:ascii="宋体" w:hAnsi="宋体" w:eastAsia="宋体" w:cs="宋体"/>
          <w:spacing w:val="6"/>
          <w:position w:val="1"/>
          <w:lang w:val="en-US" w:eastAsia="zh-CN"/>
        </w:rPr>
      </w:pP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drawing>
          <wp:inline distT="0" distB="0" distL="114300" distR="114300">
            <wp:extent cx="3430905" cy="3011170"/>
            <wp:effectExtent l="0" t="0" r="17145" b="17780"/>
            <wp:docPr id="30" name="图片 30" descr="171925558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19255580176"/>
                    <pic:cNvPicPr>
                      <a:picLocks noChangeAspect="1"/>
                    </pic:cNvPicPr>
                  </pic:nvPicPr>
                  <pic:blipFill>
                    <a:blip r:embed="rId17"/>
                    <a:stretch>
                      <a:fillRect/>
                    </a:stretch>
                  </pic:blipFill>
                  <pic:spPr>
                    <a:xfrm>
                      <a:off x="0" y="0"/>
                      <a:ext cx="3430905" cy="3011170"/>
                    </a:xfrm>
                    <a:prstGeom prst="rect">
                      <a:avLst/>
                    </a:prstGeom>
                  </pic:spPr>
                </pic:pic>
              </a:graphicData>
            </a:graphic>
          </wp:inline>
        </w:drawing>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(3)研究表明,碳源和氮源的种类、浓度及其比例会影响微生物生长和发酵产物积累。如果培养基中碳源相对过多,容易使其氧化不彻底,形成较多的__________________________________________,引起发酵液PH下降。兴趣小组通过单因子实验确定了木薯淀粉和酵母粉的最适浓度分别为100G·L</w:t>
      </w:r>
      <w:r>
        <w:rPr>
          <w:rFonts w:hint="eastAsia" w:ascii="宋体" w:hAnsi="宋体" w:eastAsia="宋体" w:cs="宋体"/>
          <w:spacing w:val="6"/>
          <w:position w:val="1"/>
          <w:vertAlign w:val="superscript"/>
          <w:lang w:val="en-US" w:eastAsia="zh-CN"/>
        </w:rPr>
        <w:t>-1</w:t>
      </w:r>
      <w:r>
        <w:rPr>
          <w:rFonts w:hint="eastAsia" w:ascii="宋体" w:hAnsi="宋体" w:eastAsia="宋体" w:cs="宋体"/>
          <w:spacing w:val="6"/>
          <w:position w:val="1"/>
          <w:lang w:val="en-US" w:eastAsia="zh-CN"/>
        </w:rPr>
        <w:t>和15G·L</w:t>
      </w:r>
      <w:r>
        <w:rPr>
          <w:rFonts w:hint="eastAsia" w:ascii="宋体" w:hAnsi="宋体" w:eastAsia="宋体" w:cs="宋体"/>
          <w:spacing w:val="6"/>
          <w:position w:val="1"/>
          <w:vertAlign w:val="superscript"/>
          <w:lang w:val="en-US" w:eastAsia="zh-CN"/>
        </w:rPr>
        <w:t>-1</w:t>
      </w:r>
      <w:r>
        <w:rPr>
          <w:rFonts w:hint="eastAsia" w:ascii="宋体" w:hAnsi="宋体" w:eastAsia="宋体" w:cs="宋体"/>
          <w:spacing w:val="6"/>
          <w:position w:val="1"/>
          <w:lang w:val="en-US" w:eastAsia="zh-CN"/>
        </w:rPr>
        <w:t>。在此基础上,设置不同浓度的木薯淀粉(90G·L</w:t>
      </w:r>
      <w:r>
        <w:rPr>
          <w:rFonts w:hint="eastAsia" w:ascii="宋体" w:hAnsi="宋体" w:eastAsia="宋体" w:cs="宋体"/>
          <w:spacing w:val="6"/>
          <w:position w:val="1"/>
          <w:vertAlign w:val="superscript"/>
          <w:lang w:val="en-US" w:eastAsia="zh-CN"/>
        </w:rPr>
        <w:t>-1</w:t>
      </w:r>
      <w:r>
        <w:rPr>
          <w:rFonts w:hint="eastAsia" w:ascii="宋体" w:hAnsi="宋体" w:eastAsia="宋体" w:cs="宋体"/>
          <w:spacing w:val="6"/>
          <w:position w:val="1"/>
          <w:lang w:val="en-US" w:eastAsia="zh-CN"/>
        </w:rPr>
        <w:t>、100G·L</w:t>
      </w:r>
      <w:r>
        <w:rPr>
          <w:rFonts w:hint="eastAsia" w:ascii="宋体" w:hAnsi="宋体" w:eastAsia="宋体" w:cs="宋体"/>
          <w:spacing w:val="6"/>
          <w:position w:val="1"/>
          <w:vertAlign w:val="superscript"/>
          <w:lang w:val="en-US" w:eastAsia="zh-CN"/>
        </w:rPr>
        <w:t>-1</w:t>
      </w:r>
      <w:r>
        <w:rPr>
          <w:rFonts w:hint="eastAsia" w:ascii="宋体" w:hAnsi="宋体" w:eastAsia="宋体" w:cs="宋体"/>
          <w:spacing w:val="6"/>
          <w:position w:val="1"/>
          <w:lang w:val="en-US" w:eastAsia="zh-CN"/>
        </w:rPr>
        <w:t>、110G·L</w:t>
      </w:r>
      <w:r>
        <w:rPr>
          <w:rFonts w:hint="eastAsia" w:ascii="宋体" w:hAnsi="宋体" w:eastAsia="宋体" w:cs="宋体"/>
          <w:spacing w:val="6"/>
          <w:position w:val="1"/>
          <w:vertAlign w:val="superscript"/>
          <w:lang w:val="en-US" w:eastAsia="zh-CN"/>
        </w:rPr>
        <w:t>-1</w:t>
      </w:r>
      <w:r>
        <w:rPr>
          <w:rFonts w:hint="eastAsia" w:ascii="宋体" w:hAnsi="宋体" w:eastAsia="宋体" w:cs="宋体"/>
          <w:spacing w:val="6"/>
          <w:position w:val="1"/>
          <w:lang w:val="en-US" w:eastAsia="zh-CN"/>
        </w:rPr>
        <w:t>)和酵母粉(12G·L</w:t>
      </w:r>
      <w:r>
        <w:rPr>
          <w:rFonts w:hint="eastAsia" w:ascii="宋体" w:hAnsi="宋体" w:eastAsia="宋体" w:cs="宋体"/>
          <w:spacing w:val="6"/>
          <w:position w:val="1"/>
          <w:vertAlign w:val="superscript"/>
          <w:lang w:val="en-US" w:eastAsia="zh-CN"/>
        </w:rPr>
        <w:t>-1</w:t>
      </w:r>
      <w:r>
        <w:rPr>
          <w:rFonts w:hint="eastAsia" w:ascii="宋体" w:hAnsi="宋体" w:eastAsia="宋体" w:cs="宋体"/>
          <w:spacing w:val="6"/>
          <w:position w:val="1"/>
          <w:lang w:val="en-US" w:eastAsia="zh-CN"/>
        </w:rPr>
        <w:t>、15G·L</w:t>
      </w:r>
      <w:r>
        <w:rPr>
          <w:rFonts w:hint="eastAsia" w:ascii="宋体" w:hAnsi="宋体" w:eastAsia="宋体" w:cs="宋体"/>
          <w:spacing w:val="6"/>
          <w:position w:val="1"/>
          <w:vertAlign w:val="superscript"/>
          <w:lang w:val="en-US" w:eastAsia="zh-CN"/>
        </w:rPr>
        <w:t>-1</w:t>
      </w:r>
      <w:r>
        <w:rPr>
          <w:rFonts w:hint="eastAsia" w:ascii="宋体" w:hAnsi="宋体" w:eastAsia="宋体" w:cs="宋体"/>
          <w:spacing w:val="6"/>
          <w:position w:val="1"/>
          <w:lang w:val="en-US" w:eastAsia="zh-CN"/>
        </w:rPr>
        <w:t>、18G·L</w:t>
      </w:r>
      <w:r>
        <w:rPr>
          <w:rFonts w:hint="eastAsia" w:ascii="宋体" w:hAnsi="宋体" w:eastAsia="宋体" w:cs="宋体"/>
          <w:spacing w:val="6"/>
          <w:position w:val="1"/>
          <w:vertAlign w:val="superscript"/>
          <w:lang w:val="en-US" w:eastAsia="zh-CN"/>
        </w:rPr>
        <w:t>-1</w:t>
      </w:r>
      <w:r>
        <w:rPr>
          <w:rFonts w:hint="eastAsia" w:ascii="宋体" w:hAnsi="宋体" w:eastAsia="宋体" w:cs="宋体"/>
          <w:spacing w:val="6"/>
          <w:position w:val="1"/>
          <w:lang w:val="en-US" w:eastAsia="zh-CN"/>
        </w:rPr>
        <w:t>)筛选碳源和氮源浓度的最佳组合,以获得较高发酵产量,理论上应设置_____________________(填数字)组实验(重复组不计算在内)。</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(4)大肠杆菌在发酵罐内进行高密度发酵时,温度会升高,其原因是_____________</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__________________________________________。</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(5)发酵工业中通过菌种选育、扩大培养和发酵后,再经________________________</w:t>
      </w:r>
    </w:p>
    <w:p>
      <w:pPr>
        <w:rPr>
          <w:rFonts w:hint="eastAsia" w:ascii="宋体" w:hAnsi="宋体" w:eastAsia="宋体" w:cs="宋体"/>
          <w:spacing w:val="6"/>
          <w:position w:val="1"/>
          <w:lang w:val="en-US" w:eastAsia="zh-CN"/>
        </w:rPr>
      </w:pPr>
      <w:r>
        <w:rPr>
          <w:rFonts w:hint="eastAsia" w:ascii="宋体" w:hAnsi="宋体" w:eastAsia="宋体" w:cs="宋体"/>
          <w:spacing w:val="6"/>
          <w:position w:val="1"/>
          <w:lang w:val="en-US" w:eastAsia="zh-CN"/>
        </w:rPr>
        <w:t>________________________,最终获得发酵产品。</w:t>
      </w:r>
    </w:p>
    <w:p>
      <w:pPr>
        <w:rPr>
          <w:rFonts w:hint="eastAsia" w:ascii="宋体" w:hAnsi="宋体" w:eastAsia="宋体" w:cs="宋体"/>
          <w:spacing w:val="6"/>
          <w:position w:val="1"/>
          <w:lang w:val="en-US" w:eastAsia="zh-CN"/>
        </w:rPr>
      </w:pPr>
    </w:p>
    <w:p>
      <w:pPr>
        <w:rPr>
          <w:rFonts w:hint="eastAsia" w:ascii="宋体" w:hAnsi="宋体" w:eastAsia="宋体" w:cs="宋体"/>
          <w:spacing w:val="6"/>
          <w:position w:val="1"/>
          <w:lang w:val="en-US" w:eastAsia="zh-CN"/>
        </w:rPr>
      </w:pPr>
    </w:p>
    <w:p>
      <w:pPr>
        <w:rPr>
          <w:rFonts w:hint="eastAsia" w:ascii="宋体" w:hAnsi="宋体" w:eastAsia="宋体" w:cs="宋体"/>
          <w:spacing w:val="6"/>
          <w:position w:val="1"/>
          <w:lang w:val="en-US" w:eastAsia="zh-CN"/>
        </w:rPr>
      </w:pPr>
    </w:p>
    <w:p>
      <w:pPr>
        <w:rPr>
          <w:rFonts w:hint="eastAsia" w:ascii="宋体" w:hAnsi="宋体" w:eastAsia="宋体" w:cs="宋体"/>
          <w:spacing w:val="6"/>
          <w:position w:val="1"/>
          <w:lang w:val="en-US" w:eastAsia="zh-CN"/>
        </w:rPr>
      </w:pPr>
    </w:p>
    <w:p>
      <w:pPr>
        <w:rPr>
          <w:rFonts w:hint="eastAsia" w:ascii="宋体" w:hAnsi="宋体" w:eastAsia="宋体" w:cs="宋体"/>
          <w:spacing w:val="6"/>
          <w:position w:val="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lMWJjYzNkNThiN2I3NzZiNDk0YmJjMzZkZGNlZmMifQ=="/>
  </w:docVars>
  <w:rsids>
    <w:rsidRoot w:val="4EF774BD"/>
    <w:rsid w:val="000C253E"/>
    <w:rsid w:val="011B5D53"/>
    <w:rsid w:val="065158EF"/>
    <w:rsid w:val="07121C8F"/>
    <w:rsid w:val="0C612862"/>
    <w:rsid w:val="0CDE6CC8"/>
    <w:rsid w:val="13B73340"/>
    <w:rsid w:val="14707D4A"/>
    <w:rsid w:val="157E1073"/>
    <w:rsid w:val="170B2AFC"/>
    <w:rsid w:val="186F5970"/>
    <w:rsid w:val="218F188E"/>
    <w:rsid w:val="2D9B1B50"/>
    <w:rsid w:val="3C0B1A2F"/>
    <w:rsid w:val="3DAD10BF"/>
    <w:rsid w:val="42FC194E"/>
    <w:rsid w:val="4E4271CB"/>
    <w:rsid w:val="4EF774BD"/>
    <w:rsid w:val="5D314694"/>
    <w:rsid w:val="603C5E79"/>
    <w:rsid w:val="60561247"/>
    <w:rsid w:val="640405A2"/>
    <w:rsid w:val="64E874D9"/>
    <w:rsid w:val="676F4CBC"/>
    <w:rsid w:val="68D1616F"/>
    <w:rsid w:val="749865BB"/>
    <w:rsid w:val="7D38237A"/>
    <w:rsid w:val="7E0E2D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 w:type="paragraph" w:customStyle="1" w:styleId="5">
    <w:name w:val="Table Text"/>
    <w:basedOn w:val="1"/>
    <w:semiHidden/>
    <w:qFormat/>
    <w:uiPriority w:val="0"/>
    <w:rPr>
      <w:rFonts w:ascii="Arial" w:hAnsi="Arial" w:eastAsia="Arial" w:cs="Arial"/>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5</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2024-06-24T18:29:00Z</dcterms:created>
  <dc:creator>房杰</dc:creator>
  <cp:lastModifiedBy>房杰</cp:lastModifiedBy>
  <dcterms:modified xsi:type="dcterms:W3CDTF">2024-06-24T19:06:01Z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9E014CAD703344AF98794AD81A297ABE_11</vt:lpwstr>
  </property>
</Properties>
</file>